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53FA0" w14:textId="77777777" w:rsidR="00BF1C47" w:rsidRDefault="00BF1C47" w:rsidP="00BF1C47">
      <w:pPr>
        <w:rPr>
          <w:rFonts w:ascii="Trebuchet MS" w:hAnsi="Trebuchet MS"/>
          <w:b/>
          <w:sz w:val="28"/>
          <w:szCs w:val="28"/>
        </w:rPr>
      </w:pPr>
      <w:r w:rsidRPr="00BF1C47">
        <w:rPr>
          <w:rFonts w:ascii="Trebuchet MS" w:hAnsi="Trebuchet MS"/>
          <w:b/>
          <w:sz w:val="28"/>
          <w:szCs w:val="28"/>
        </w:rPr>
        <w:t>SOMATOSTATIINIRESEPTOREIDEN PET</w:t>
      </w:r>
      <w:r>
        <w:rPr>
          <w:rFonts w:ascii="Trebuchet MS" w:hAnsi="Trebuchet MS"/>
          <w:b/>
          <w:sz w:val="28"/>
          <w:szCs w:val="28"/>
        </w:rPr>
        <w:t>-</w:t>
      </w:r>
      <w:r w:rsidRPr="00BF1C47">
        <w:rPr>
          <w:rFonts w:ascii="Trebuchet MS" w:hAnsi="Trebuchet MS"/>
          <w:b/>
          <w:sz w:val="28"/>
          <w:szCs w:val="28"/>
        </w:rPr>
        <w:t>TT</w:t>
      </w:r>
    </w:p>
    <w:p w14:paraId="5E153FA1" w14:textId="77777777" w:rsidR="00757B01" w:rsidRPr="00BF1C47" w:rsidRDefault="00757B01" w:rsidP="00BF1C47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(KOKO KEHON RESEPTOREIDEN PET-TT, tilastointinimi)</w:t>
      </w:r>
    </w:p>
    <w:p w14:paraId="5E153FA2" w14:textId="77777777" w:rsidR="00BF1C47" w:rsidRPr="00BF1C47" w:rsidRDefault="00BF1C47" w:rsidP="00BF1C47">
      <w:pPr>
        <w:rPr>
          <w:rFonts w:ascii="Trebuchet MS" w:hAnsi="Trebuchet MS"/>
          <w:b/>
          <w:sz w:val="28"/>
          <w:szCs w:val="28"/>
        </w:rPr>
      </w:pPr>
      <w:r w:rsidRPr="00BF1C47">
        <w:rPr>
          <w:rFonts w:ascii="Trebuchet MS" w:hAnsi="Trebuchet MS"/>
          <w:b/>
          <w:sz w:val="28"/>
          <w:szCs w:val="28"/>
        </w:rPr>
        <w:t>JN</w:t>
      </w:r>
      <w:r w:rsidR="00757B01">
        <w:rPr>
          <w:rFonts w:ascii="Trebuchet MS" w:hAnsi="Trebuchet MS"/>
          <w:b/>
          <w:sz w:val="28"/>
          <w:szCs w:val="28"/>
        </w:rPr>
        <w:t>5ER</w:t>
      </w:r>
    </w:p>
    <w:p w14:paraId="5E153FA3" w14:textId="77777777" w:rsidR="00BF1C47" w:rsidRPr="00BF1C47" w:rsidRDefault="00BF1C47" w:rsidP="00BF1C47">
      <w:pPr>
        <w:rPr>
          <w:rFonts w:ascii="Trebuchet MS" w:hAnsi="Trebuchet MS"/>
          <w:b/>
          <w:sz w:val="28"/>
          <w:szCs w:val="28"/>
        </w:rPr>
      </w:pPr>
    </w:p>
    <w:p w14:paraId="5E153FA4" w14:textId="77777777" w:rsidR="00BF1C47" w:rsidRPr="00BF1C47" w:rsidRDefault="00BF1C47" w:rsidP="00BF1C47">
      <w:pPr>
        <w:rPr>
          <w:rFonts w:ascii="Trebuchet MS" w:hAnsi="Trebuchet MS"/>
          <w:sz w:val="22"/>
          <w:szCs w:val="22"/>
        </w:rPr>
      </w:pPr>
    </w:p>
    <w:p w14:paraId="5E153FA5" w14:textId="77777777" w:rsidR="00BF1C47" w:rsidRPr="00BF1C47" w:rsidRDefault="00BF1C47" w:rsidP="00BF1C47">
      <w:pPr>
        <w:rPr>
          <w:rFonts w:ascii="Trebuchet MS" w:hAnsi="Trebuchet MS"/>
          <w:sz w:val="22"/>
          <w:szCs w:val="22"/>
        </w:rPr>
      </w:pPr>
      <w:r w:rsidRPr="00BF1C47">
        <w:rPr>
          <w:rFonts w:ascii="Trebuchet MS" w:hAnsi="Trebuchet MS"/>
          <w:sz w:val="22"/>
          <w:szCs w:val="22"/>
        </w:rPr>
        <w:t>PERIAATE</w:t>
      </w:r>
    </w:p>
    <w:p w14:paraId="5E153FA6" w14:textId="77777777" w:rsidR="00BF1C47" w:rsidRPr="00BF1C47" w:rsidRDefault="00BF1C47" w:rsidP="00BF1C47">
      <w:pPr>
        <w:ind w:left="127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vertAlign w:val="superscript"/>
        </w:rPr>
        <w:t>68</w:t>
      </w:r>
      <w:r>
        <w:rPr>
          <w:rFonts w:ascii="Trebuchet MS" w:hAnsi="Trebuchet MS"/>
          <w:sz w:val="22"/>
          <w:szCs w:val="22"/>
        </w:rPr>
        <w:t>Ga</w:t>
      </w:r>
      <w:r w:rsidRPr="00BF1C47">
        <w:rPr>
          <w:rFonts w:ascii="Trebuchet MS" w:hAnsi="Trebuchet MS"/>
          <w:sz w:val="22"/>
          <w:szCs w:val="22"/>
        </w:rPr>
        <w:t>-</w:t>
      </w:r>
      <w:r w:rsidR="00EF7037">
        <w:rPr>
          <w:rFonts w:ascii="Trebuchet MS" w:hAnsi="Trebuchet MS"/>
          <w:sz w:val="22"/>
          <w:szCs w:val="22"/>
        </w:rPr>
        <w:t>edotreotidi (DotaToc)</w:t>
      </w:r>
      <w:r w:rsidRPr="00BF1C47">
        <w:rPr>
          <w:rFonts w:ascii="Trebuchet MS" w:hAnsi="Trebuchet MS"/>
          <w:sz w:val="22"/>
          <w:szCs w:val="22"/>
        </w:rPr>
        <w:t xml:space="preserve"> on somatostatiinianalogi (somatostatiini</w:t>
      </w:r>
      <w:r w:rsidR="00B54A53">
        <w:rPr>
          <w:rFonts w:ascii="Trebuchet MS" w:hAnsi="Trebuchet MS"/>
          <w:sz w:val="22"/>
          <w:szCs w:val="22"/>
        </w:rPr>
        <w:t xml:space="preserve"> </w:t>
      </w:r>
      <w:r w:rsidRPr="00BF1C47">
        <w:rPr>
          <w:rFonts w:ascii="Trebuchet MS" w:hAnsi="Trebuchet MS"/>
          <w:sz w:val="22"/>
          <w:szCs w:val="22"/>
        </w:rPr>
        <w:t>=</w:t>
      </w:r>
      <w:r w:rsidR="00B54A53">
        <w:rPr>
          <w:rFonts w:ascii="Trebuchet MS" w:hAnsi="Trebuchet MS"/>
          <w:sz w:val="22"/>
          <w:szCs w:val="22"/>
        </w:rPr>
        <w:t xml:space="preserve"> </w:t>
      </w:r>
      <w:r w:rsidRPr="00BF1C47">
        <w:rPr>
          <w:rFonts w:ascii="Trebuchet MS" w:hAnsi="Trebuchet MS"/>
          <w:sz w:val="22"/>
          <w:szCs w:val="22"/>
        </w:rPr>
        <w:t>kasvua ehkäisevä), joka hakeutuu somatostatiinireseptor</w:t>
      </w:r>
      <w:r w:rsidR="00EF7037">
        <w:rPr>
          <w:rFonts w:ascii="Trebuchet MS" w:hAnsi="Trebuchet MS"/>
          <w:sz w:val="22"/>
          <w:szCs w:val="22"/>
        </w:rPr>
        <w:t>in alatyyppiin</w:t>
      </w:r>
      <w:r w:rsidR="00391B72">
        <w:rPr>
          <w:rFonts w:ascii="Trebuchet MS" w:hAnsi="Trebuchet MS"/>
          <w:sz w:val="22"/>
          <w:szCs w:val="22"/>
        </w:rPr>
        <w:t xml:space="preserve"> </w:t>
      </w:r>
      <w:r w:rsidR="00A23063">
        <w:rPr>
          <w:rFonts w:ascii="Trebuchet MS" w:hAnsi="Trebuchet MS"/>
          <w:sz w:val="22"/>
          <w:szCs w:val="22"/>
        </w:rPr>
        <w:t>2</w:t>
      </w:r>
      <w:r w:rsidR="00EF7037">
        <w:rPr>
          <w:rFonts w:ascii="Trebuchet MS" w:hAnsi="Trebuchet MS"/>
          <w:sz w:val="22"/>
          <w:szCs w:val="22"/>
        </w:rPr>
        <w:t xml:space="preserve"> pääasiassa</w:t>
      </w:r>
      <w:r w:rsidR="00A23063">
        <w:rPr>
          <w:rFonts w:ascii="Trebuchet MS" w:hAnsi="Trebuchet MS"/>
          <w:sz w:val="22"/>
          <w:szCs w:val="22"/>
        </w:rPr>
        <w:t>,</w:t>
      </w:r>
      <w:r w:rsidR="00EF7037">
        <w:rPr>
          <w:rFonts w:ascii="Trebuchet MS" w:hAnsi="Trebuchet MS"/>
          <w:sz w:val="22"/>
          <w:szCs w:val="22"/>
        </w:rPr>
        <w:t xml:space="preserve"> mutta vähemmässä määrin myös </w:t>
      </w:r>
      <w:r w:rsidR="00161B1E">
        <w:rPr>
          <w:rFonts w:ascii="Trebuchet MS" w:hAnsi="Trebuchet MS"/>
          <w:sz w:val="22"/>
          <w:szCs w:val="22"/>
        </w:rPr>
        <w:t>alatyypin</w:t>
      </w:r>
      <w:r w:rsidR="00A23063">
        <w:rPr>
          <w:rFonts w:ascii="Trebuchet MS" w:hAnsi="Trebuchet MS"/>
          <w:sz w:val="22"/>
          <w:szCs w:val="22"/>
        </w:rPr>
        <w:t xml:space="preserve"> 5 </w:t>
      </w:r>
      <w:r w:rsidRPr="00BF1C47">
        <w:rPr>
          <w:rFonts w:ascii="Trebuchet MS" w:hAnsi="Trebuchet MS"/>
          <w:sz w:val="22"/>
          <w:szCs w:val="22"/>
        </w:rPr>
        <w:t>sisältäviin kudoksiin. Useimmat neuroendokriiniset kasvaimet ja useat hyvin erilaistuneet kasvaimet sisältävät somatostatiinireseptoreita.</w:t>
      </w:r>
    </w:p>
    <w:p w14:paraId="5E153FA7" w14:textId="77777777" w:rsidR="00BF1C47" w:rsidRPr="00BF1C47" w:rsidRDefault="00BF1C47" w:rsidP="00BF1C47">
      <w:pPr>
        <w:ind w:left="851" w:hanging="851"/>
        <w:rPr>
          <w:rFonts w:ascii="Trebuchet MS" w:hAnsi="Trebuchet MS"/>
          <w:sz w:val="22"/>
          <w:szCs w:val="22"/>
        </w:rPr>
      </w:pPr>
    </w:p>
    <w:p w14:paraId="5E153FA8" w14:textId="77777777" w:rsidR="00BF1C47" w:rsidRPr="00BF1C47" w:rsidRDefault="00BF1C47" w:rsidP="00BF1C47">
      <w:pPr>
        <w:ind w:left="851" w:hanging="851"/>
        <w:rPr>
          <w:rFonts w:ascii="Trebuchet MS" w:hAnsi="Trebuchet MS"/>
          <w:sz w:val="22"/>
          <w:szCs w:val="22"/>
        </w:rPr>
      </w:pPr>
      <w:r w:rsidRPr="00BF1C47">
        <w:rPr>
          <w:rFonts w:ascii="Trebuchet MS" w:hAnsi="Trebuchet MS"/>
          <w:sz w:val="22"/>
          <w:szCs w:val="22"/>
        </w:rPr>
        <w:t>INDIKAATIOT</w:t>
      </w:r>
    </w:p>
    <w:p w14:paraId="5E153FA9" w14:textId="77777777" w:rsidR="00A23063" w:rsidRDefault="00A23063" w:rsidP="00ED431E">
      <w:pPr>
        <w:ind w:left="127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Neuroendokriinisen tuumorin kuvantaminen, primaarituumorin paikantaminen, metastasoinnin ja jäännöskasvaimen toteaminen, kasvaimen uusimisen tai etenemisen toteaminen. Somatostatiini -isotooppihoitoon soveltuvien potilaiden arviointi.</w:t>
      </w:r>
    </w:p>
    <w:p w14:paraId="5E153FAA" w14:textId="77777777" w:rsidR="00A23063" w:rsidRDefault="00A23063" w:rsidP="00ED431E">
      <w:pPr>
        <w:ind w:left="1276"/>
        <w:rPr>
          <w:rFonts w:ascii="Trebuchet MS" w:hAnsi="Trebuchet MS"/>
          <w:sz w:val="22"/>
          <w:szCs w:val="22"/>
        </w:rPr>
      </w:pPr>
    </w:p>
    <w:p w14:paraId="5E153FAB" w14:textId="77777777" w:rsidR="00A23063" w:rsidRDefault="00A23063" w:rsidP="00ED431E">
      <w:pPr>
        <w:ind w:left="127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Somatostatiinireseptoreita sisältäviä muita </w:t>
      </w:r>
      <w:r w:rsidR="00F86B2E">
        <w:rPr>
          <w:rFonts w:ascii="Trebuchet MS" w:hAnsi="Trebuchet MS"/>
          <w:sz w:val="22"/>
          <w:szCs w:val="22"/>
        </w:rPr>
        <w:t>kasvaimia</w:t>
      </w:r>
      <w:r>
        <w:rPr>
          <w:rFonts w:ascii="Trebuchet MS" w:hAnsi="Trebuchet MS"/>
          <w:sz w:val="22"/>
          <w:szCs w:val="22"/>
        </w:rPr>
        <w:t>: feokromosytooma, paragangliooma, neuroblastooma, medullaarinen kilpirauhaskarsinooma, aivolisäkkeen adenooma, medulloblastooma, merkelinsolukarsinooma, meningeooma.</w:t>
      </w:r>
    </w:p>
    <w:p w14:paraId="5E153FAC" w14:textId="77777777" w:rsidR="00BF1C47" w:rsidRPr="00BF1C47" w:rsidRDefault="00BF1C47" w:rsidP="00BF1C47">
      <w:pPr>
        <w:ind w:left="851" w:hanging="851"/>
        <w:rPr>
          <w:rFonts w:ascii="Trebuchet MS" w:hAnsi="Trebuchet MS"/>
          <w:sz w:val="22"/>
          <w:szCs w:val="22"/>
        </w:rPr>
      </w:pPr>
    </w:p>
    <w:p w14:paraId="5E153FAD" w14:textId="77777777" w:rsidR="00BF1C47" w:rsidRPr="00BF1C47" w:rsidRDefault="00BF1C47" w:rsidP="00BF1C47">
      <w:pPr>
        <w:ind w:left="851" w:hanging="851"/>
        <w:rPr>
          <w:rFonts w:ascii="Trebuchet MS" w:hAnsi="Trebuchet MS"/>
          <w:sz w:val="22"/>
          <w:szCs w:val="22"/>
        </w:rPr>
      </w:pPr>
      <w:r w:rsidRPr="00BF1C47">
        <w:rPr>
          <w:rFonts w:ascii="Trebuchet MS" w:hAnsi="Trebuchet MS"/>
          <w:sz w:val="22"/>
          <w:szCs w:val="22"/>
        </w:rPr>
        <w:t>KONTRAINDIKAATIOT</w:t>
      </w:r>
    </w:p>
    <w:p w14:paraId="5E153FAE" w14:textId="77777777" w:rsidR="00BF1C47" w:rsidRPr="00BF1C47" w:rsidRDefault="00BF1C47" w:rsidP="00BF1C47">
      <w:pPr>
        <w:ind w:left="1276"/>
        <w:rPr>
          <w:rFonts w:ascii="Trebuchet MS" w:hAnsi="Trebuchet MS"/>
          <w:sz w:val="22"/>
          <w:szCs w:val="22"/>
        </w:rPr>
      </w:pPr>
      <w:r w:rsidRPr="00BF1C47">
        <w:rPr>
          <w:rFonts w:ascii="Trebuchet MS" w:hAnsi="Trebuchet MS"/>
          <w:sz w:val="22"/>
          <w:szCs w:val="22"/>
        </w:rPr>
        <w:tab/>
        <w:t>Raskaus suhteellinen, ks</w:t>
      </w:r>
      <w:r w:rsidRPr="00BF1C47">
        <w:rPr>
          <w:rFonts w:ascii="Trebuchet MS" w:hAnsi="Trebuchet MS"/>
          <w:b/>
          <w:sz w:val="22"/>
          <w:szCs w:val="22"/>
        </w:rPr>
        <w:t xml:space="preserve">. </w:t>
      </w:r>
      <w:hyperlink r:id="rId13" w:history="1">
        <w:r w:rsidRPr="00BF1C47">
          <w:rPr>
            <w:rStyle w:val="Hyperlinkki"/>
            <w:rFonts w:ascii="Trebuchet MS" w:hAnsi="Trebuchet MS"/>
            <w:sz w:val="22"/>
            <w:szCs w:val="22"/>
          </w:rPr>
          <w:t>Syntymättömien ja vastasyntyneiden lasten suojeleminen vanhempien altistuessa säteilylle isotooppitutkimusten tai -hoitojen yhteydessä: Tutkimusten ja hoitojen ajoitus fertiili-ikäisillä naisilla</w:t>
        </w:r>
      </w:hyperlink>
      <w:r w:rsidRPr="00BF1C47">
        <w:rPr>
          <w:rFonts w:ascii="Trebuchet MS" w:hAnsi="Trebuchet MS"/>
          <w:sz w:val="22"/>
          <w:szCs w:val="22"/>
        </w:rPr>
        <w:t>.</w:t>
      </w:r>
    </w:p>
    <w:p w14:paraId="5E153FAF" w14:textId="77777777" w:rsidR="00BF1C47" w:rsidRPr="00BF1C47" w:rsidRDefault="00BF1C47" w:rsidP="00BF1C47">
      <w:pPr>
        <w:ind w:left="851" w:hanging="851"/>
        <w:rPr>
          <w:rFonts w:ascii="Trebuchet MS" w:hAnsi="Trebuchet MS"/>
          <w:sz w:val="22"/>
          <w:szCs w:val="22"/>
        </w:rPr>
      </w:pPr>
    </w:p>
    <w:p w14:paraId="5E153FB0" w14:textId="77777777" w:rsidR="00BF1C47" w:rsidRPr="00BF1C47" w:rsidRDefault="00BF1C47" w:rsidP="00BF1C47">
      <w:pPr>
        <w:ind w:left="851" w:hanging="851"/>
        <w:rPr>
          <w:rFonts w:ascii="Trebuchet MS" w:hAnsi="Trebuchet MS"/>
          <w:sz w:val="22"/>
          <w:szCs w:val="22"/>
        </w:rPr>
      </w:pPr>
      <w:r w:rsidRPr="00BF1C47">
        <w:rPr>
          <w:rFonts w:ascii="Trebuchet MS" w:hAnsi="Trebuchet MS"/>
          <w:sz w:val="22"/>
          <w:szCs w:val="22"/>
        </w:rPr>
        <w:t>RADIOLÄÄKE, VALMISTUS</w:t>
      </w:r>
    </w:p>
    <w:p w14:paraId="5E153FB1" w14:textId="77777777" w:rsidR="00BF1C47" w:rsidRPr="001A02B2" w:rsidRDefault="00EF7037" w:rsidP="00BF1C47">
      <w:pPr>
        <w:ind w:left="127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vertAlign w:val="superscript"/>
        </w:rPr>
        <w:t>68</w:t>
      </w:r>
      <w:r>
        <w:rPr>
          <w:rFonts w:ascii="Trebuchet MS" w:hAnsi="Trebuchet MS"/>
          <w:sz w:val="22"/>
          <w:szCs w:val="22"/>
        </w:rPr>
        <w:t>Ga</w:t>
      </w:r>
      <w:r w:rsidRPr="00BF1C47">
        <w:rPr>
          <w:rFonts w:ascii="Trebuchet MS" w:hAnsi="Trebuchet MS"/>
          <w:sz w:val="22"/>
          <w:szCs w:val="22"/>
        </w:rPr>
        <w:t>-</w:t>
      </w:r>
      <w:r>
        <w:rPr>
          <w:rFonts w:ascii="Trebuchet MS" w:hAnsi="Trebuchet MS"/>
          <w:sz w:val="22"/>
          <w:szCs w:val="22"/>
        </w:rPr>
        <w:t>edotreotidi (DotaToc)</w:t>
      </w:r>
      <w:r w:rsidR="00BF1C47" w:rsidRPr="00BF1C47">
        <w:rPr>
          <w:rFonts w:ascii="Trebuchet MS" w:hAnsi="Trebuchet MS"/>
          <w:sz w:val="22"/>
          <w:szCs w:val="22"/>
        </w:rPr>
        <w:t>, ks.</w:t>
      </w:r>
      <w:r w:rsidR="00A23063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IBC-NM – ohjelman radiolääkkeiden valmistusohjeet</w:t>
      </w:r>
      <w:r>
        <w:rPr>
          <w:rStyle w:val="Hyperlinkki"/>
          <w:rFonts w:ascii="Trebuchet MS" w:hAnsi="Trebuchet MS"/>
          <w:sz w:val="22"/>
          <w:szCs w:val="22"/>
        </w:rPr>
        <w:t xml:space="preserve">. </w:t>
      </w:r>
      <w:r w:rsidR="001A02B2" w:rsidRPr="001A02B2">
        <w:rPr>
          <w:rStyle w:val="Hyperlinkki"/>
          <w:rFonts w:ascii="Trebuchet MS" w:hAnsi="Trebuchet MS"/>
          <w:color w:val="auto"/>
          <w:sz w:val="22"/>
          <w:szCs w:val="22"/>
          <w:u w:val="none"/>
        </w:rPr>
        <w:t>Valmistus</w:t>
      </w:r>
      <w:r w:rsidR="00293F4C">
        <w:rPr>
          <w:rStyle w:val="Hyperlinkki"/>
          <w:rFonts w:ascii="Trebuchet MS" w:hAnsi="Trebuchet MS"/>
          <w:color w:val="auto"/>
          <w:sz w:val="22"/>
          <w:szCs w:val="22"/>
          <w:u w:val="none"/>
        </w:rPr>
        <w:t xml:space="preserve"> vie aikaa noi</w:t>
      </w:r>
      <w:r>
        <w:rPr>
          <w:rStyle w:val="Hyperlinkki"/>
          <w:rFonts w:ascii="Trebuchet MS" w:hAnsi="Trebuchet MS"/>
          <w:color w:val="auto"/>
          <w:sz w:val="22"/>
          <w:szCs w:val="22"/>
          <w:u w:val="none"/>
        </w:rPr>
        <w:t xml:space="preserve">n tunnin ja laadunvarmistus puoli </w:t>
      </w:r>
      <w:r w:rsidR="00293F4C">
        <w:rPr>
          <w:rStyle w:val="Hyperlinkki"/>
          <w:rFonts w:ascii="Trebuchet MS" w:hAnsi="Trebuchet MS"/>
          <w:color w:val="auto"/>
          <w:sz w:val="22"/>
          <w:szCs w:val="22"/>
          <w:u w:val="none"/>
        </w:rPr>
        <w:t>tuntia</w:t>
      </w:r>
      <w:r w:rsidR="007A3BF2">
        <w:rPr>
          <w:rStyle w:val="Hyperlinkki"/>
          <w:rFonts w:ascii="Trebuchet MS" w:hAnsi="Trebuchet MS"/>
          <w:color w:val="auto"/>
          <w:sz w:val="22"/>
          <w:szCs w:val="22"/>
          <w:u w:val="none"/>
        </w:rPr>
        <w:t>.</w:t>
      </w:r>
    </w:p>
    <w:p w14:paraId="5E153FB2" w14:textId="77777777" w:rsidR="00BF1C47" w:rsidRPr="00BF1C47" w:rsidRDefault="00BF1C47" w:rsidP="00BF1C47">
      <w:pPr>
        <w:ind w:left="851" w:hanging="851"/>
        <w:rPr>
          <w:rFonts w:ascii="Trebuchet MS" w:hAnsi="Trebuchet MS"/>
          <w:sz w:val="22"/>
          <w:szCs w:val="22"/>
        </w:rPr>
      </w:pPr>
    </w:p>
    <w:p w14:paraId="5E153FB3" w14:textId="77777777" w:rsidR="00BF1C47" w:rsidRPr="00BF1C47" w:rsidRDefault="00BF1C47" w:rsidP="00BF1C47">
      <w:pPr>
        <w:ind w:left="851" w:hanging="851"/>
        <w:rPr>
          <w:rFonts w:ascii="Trebuchet MS" w:hAnsi="Trebuchet MS"/>
          <w:sz w:val="22"/>
          <w:szCs w:val="22"/>
        </w:rPr>
      </w:pPr>
      <w:r w:rsidRPr="00BF1C47">
        <w:rPr>
          <w:rFonts w:ascii="Trebuchet MS" w:hAnsi="Trebuchet MS"/>
          <w:sz w:val="22"/>
          <w:szCs w:val="22"/>
        </w:rPr>
        <w:t>ANNOS</w:t>
      </w:r>
    </w:p>
    <w:p w14:paraId="5E153FB6" w14:textId="7DBCDAA0" w:rsidR="008A5643" w:rsidRDefault="008A5643" w:rsidP="00B411F5">
      <w:pPr>
        <w:ind w:left="1276"/>
        <w:rPr>
          <w:rFonts w:ascii="Trebuchet MS" w:hAnsi="Trebuchet MS"/>
          <w:sz w:val="22"/>
          <w:szCs w:val="22"/>
        </w:rPr>
      </w:pPr>
      <w:r w:rsidRPr="008B7237">
        <w:rPr>
          <w:rFonts w:ascii="Trebuchet MS" w:hAnsi="Trebuchet MS"/>
          <w:sz w:val="22"/>
          <w:szCs w:val="22"/>
        </w:rPr>
        <w:t xml:space="preserve">Annos potilaan painon mukaan: </w:t>
      </w:r>
      <w:r w:rsidRPr="008B7237">
        <w:rPr>
          <w:rFonts w:ascii="Trebuchet MS" w:hAnsi="Trebuchet MS"/>
          <w:b/>
          <w:sz w:val="22"/>
          <w:szCs w:val="22"/>
        </w:rPr>
        <w:t>2 MBq</w:t>
      </w:r>
      <w:r>
        <w:rPr>
          <w:rFonts w:ascii="Trebuchet MS" w:hAnsi="Trebuchet MS"/>
          <w:b/>
          <w:sz w:val="22"/>
          <w:szCs w:val="22"/>
        </w:rPr>
        <w:t xml:space="preserve"> </w:t>
      </w:r>
      <w:r w:rsidRPr="008B7237">
        <w:rPr>
          <w:rFonts w:ascii="Trebuchet MS" w:hAnsi="Trebuchet MS"/>
          <w:b/>
          <w:sz w:val="22"/>
          <w:szCs w:val="22"/>
        </w:rPr>
        <w:t>/</w:t>
      </w:r>
      <w:r>
        <w:rPr>
          <w:rFonts w:ascii="Trebuchet MS" w:hAnsi="Trebuchet MS"/>
          <w:b/>
          <w:sz w:val="22"/>
          <w:szCs w:val="22"/>
        </w:rPr>
        <w:t xml:space="preserve"> </w:t>
      </w:r>
      <w:r w:rsidRPr="008B7237">
        <w:rPr>
          <w:rFonts w:ascii="Trebuchet MS" w:hAnsi="Trebuchet MS"/>
          <w:b/>
          <w:sz w:val="22"/>
          <w:szCs w:val="22"/>
        </w:rPr>
        <w:t>kg</w:t>
      </w:r>
      <w:r w:rsidR="00B411F5">
        <w:rPr>
          <w:rFonts w:ascii="Trebuchet MS" w:hAnsi="Trebuchet MS"/>
          <w:b/>
          <w:sz w:val="22"/>
          <w:szCs w:val="22"/>
        </w:rPr>
        <w:t xml:space="preserve">. </w:t>
      </w:r>
      <w:r w:rsidR="00B411F5" w:rsidRPr="00B411F5">
        <w:rPr>
          <w:rFonts w:ascii="Trebuchet MS" w:hAnsi="Trebuchet MS"/>
          <w:sz w:val="22"/>
          <w:szCs w:val="22"/>
        </w:rPr>
        <w:t xml:space="preserve">Aikuisen </w:t>
      </w:r>
      <w:r w:rsidR="00B411F5">
        <w:rPr>
          <w:rFonts w:ascii="Trebuchet MS" w:hAnsi="Trebuchet MS"/>
          <w:sz w:val="22"/>
          <w:szCs w:val="22"/>
        </w:rPr>
        <w:t>m</w:t>
      </w:r>
      <w:r w:rsidRPr="008B7237">
        <w:rPr>
          <w:rFonts w:ascii="Trebuchet MS" w:hAnsi="Trebuchet MS"/>
          <w:sz w:val="22"/>
          <w:szCs w:val="22"/>
        </w:rPr>
        <w:t>i</w:t>
      </w:r>
      <w:r>
        <w:rPr>
          <w:rFonts w:ascii="Trebuchet MS" w:hAnsi="Trebuchet MS"/>
          <w:sz w:val="22"/>
          <w:szCs w:val="22"/>
        </w:rPr>
        <w:t>n. annos</w:t>
      </w:r>
      <w:r w:rsidR="00B411F5">
        <w:rPr>
          <w:rFonts w:ascii="Trebuchet MS" w:hAnsi="Trebuchet MS"/>
          <w:sz w:val="22"/>
          <w:szCs w:val="22"/>
        </w:rPr>
        <w:t xml:space="preserve"> on</w:t>
      </w:r>
      <w:r>
        <w:rPr>
          <w:rFonts w:ascii="Trebuchet MS" w:hAnsi="Trebuchet MS"/>
          <w:sz w:val="22"/>
          <w:szCs w:val="22"/>
        </w:rPr>
        <w:t xml:space="preserve"> 100 MBq ja max.</w:t>
      </w:r>
      <w:r w:rsidR="00B411F5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annos 20</w:t>
      </w:r>
      <w:r w:rsidRPr="008B7237">
        <w:rPr>
          <w:rFonts w:ascii="Trebuchet MS" w:hAnsi="Trebuchet MS"/>
          <w:sz w:val="22"/>
          <w:szCs w:val="22"/>
        </w:rPr>
        <w:t xml:space="preserve">0 MBq. </w:t>
      </w:r>
    </w:p>
    <w:p w14:paraId="1E3D670C" w14:textId="77777777" w:rsidR="00B411F5" w:rsidRPr="008B7237" w:rsidRDefault="00B411F5" w:rsidP="00B411F5">
      <w:pPr>
        <w:ind w:left="1276"/>
        <w:rPr>
          <w:rFonts w:ascii="Trebuchet MS" w:hAnsi="Trebuchet MS"/>
          <w:sz w:val="22"/>
          <w:szCs w:val="22"/>
        </w:rPr>
      </w:pPr>
      <w:r w:rsidRPr="00BA5ECE">
        <w:rPr>
          <w:rFonts w:ascii="Trebuchet MS" w:hAnsi="Trebuchet MS"/>
          <w:sz w:val="22"/>
          <w:szCs w:val="22"/>
        </w:rPr>
        <w:t xml:space="preserve">Lapsille annos painon mukaan, ks. Lasten </w:t>
      </w:r>
      <w:r>
        <w:rPr>
          <w:rFonts w:ascii="Trebuchet MS" w:hAnsi="Trebuchet MS"/>
          <w:sz w:val="22"/>
          <w:szCs w:val="22"/>
        </w:rPr>
        <w:t>isotooppitutkimukset EANM Y-asemalta. Alle 18-vuotiaille maksimi annos on 111 MBq.</w:t>
      </w:r>
    </w:p>
    <w:p w14:paraId="65CF2880" w14:textId="77777777" w:rsidR="00B411F5" w:rsidRPr="008B7237" w:rsidRDefault="00B411F5" w:rsidP="00B411F5">
      <w:pPr>
        <w:ind w:left="1276"/>
        <w:rPr>
          <w:rFonts w:ascii="Trebuchet MS" w:hAnsi="Trebuchet MS"/>
          <w:sz w:val="22"/>
          <w:szCs w:val="22"/>
        </w:rPr>
      </w:pPr>
    </w:p>
    <w:p w14:paraId="5E153FB7" w14:textId="77777777" w:rsidR="00BF1C47" w:rsidRPr="00BF1C47" w:rsidRDefault="00BF1C47" w:rsidP="007A3BF2">
      <w:pPr>
        <w:ind w:left="1276"/>
        <w:rPr>
          <w:rFonts w:ascii="Trebuchet MS" w:hAnsi="Trebuchet MS"/>
          <w:sz w:val="22"/>
          <w:szCs w:val="22"/>
        </w:rPr>
      </w:pPr>
    </w:p>
    <w:p w14:paraId="5E153FB8" w14:textId="77777777" w:rsidR="00BF1C47" w:rsidRPr="00BF1C47" w:rsidRDefault="00BF1C47" w:rsidP="00BF1C47">
      <w:pPr>
        <w:ind w:left="851" w:hanging="851"/>
        <w:rPr>
          <w:rFonts w:ascii="Trebuchet MS" w:hAnsi="Trebuchet MS"/>
          <w:sz w:val="22"/>
          <w:szCs w:val="22"/>
        </w:rPr>
      </w:pPr>
      <w:r w:rsidRPr="00BF1C47">
        <w:rPr>
          <w:rFonts w:ascii="Trebuchet MS" w:hAnsi="Trebuchet MS"/>
          <w:sz w:val="22"/>
          <w:szCs w:val="22"/>
        </w:rPr>
        <w:t>POTILAAN ESIVALMISTELU</w:t>
      </w:r>
    </w:p>
    <w:p w14:paraId="5E153FB9" w14:textId="77777777" w:rsidR="007A3BF2" w:rsidRDefault="007A3BF2" w:rsidP="00ED431E">
      <w:pPr>
        <w:ind w:left="127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Pitkävaikutteinen somatostatiinianalogilääkitys (Sandostatin Lar) tulisi olla tauolla 3-4 viikkoa ennen kuvausta ja lyhytvaikutteinen (Sandostatin</w:t>
      </w:r>
      <w:r w:rsidR="00131B58">
        <w:rPr>
          <w:rFonts w:ascii="Trebuchet MS" w:hAnsi="Trebuchet MS"/>
          <w:sz w:val="22"/>
          <w:szCs w:val="22"/>
        </w:rPr>
        <w:t xml:space="preserve"> tai Somatuline Autogel</w:t>
      </w:r>
      <w:r>
        <w:rPr>
          <w:rFonts w:ascii="Trebuchet MS" w:hAnsi="Trebuchet MS"/>
          <w:sz w:val="22"/>
          <w:szCs w:val="22"/>
        </w:rPr>
        <w:t>) 1 vuorokauden. Kliinisen tilanteen vaatiessa kuvaus voidaan tehdä ilman taukoa.</w:t>
      </w:r>
    </w:p>
    <w:p w14:paraId="5E153FBA" w14:textId="77777777" w:rsidR="00F82EB0" w:rsidRDefault="00F82EB0" w:rsidP="00ED431E">
      <w:pPr>
        <w:ind w:left="1276"/>
        <w:rPr>
          <w:rFonts w:ascii="Trebuchet MS" w:hAnsi="Trebuchet MS"/>
          <w:sz w:val="22"/>
          <w:szCs w:val="22"/>
        </w:rPr>
      </w:pPr>
    </w:p>
    <w:p w14:paraId="5E153FBB" w14:textId="77777777" w:rsidR="00F82EB0" w:rsidRPr="00D66B34" w:rsidRDefault="00F82EB0" w:rsidP="00F82EB0">
      <w:pPr>
        <w:ind w:left="1276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Merkitse RIS:n valmistelu – kohtaan:</w:t>
      </w:r>
    </w:p>
    <w:p w14:paraId="5E153FBC" w14:textId="77777777" w:rsidR="00F82EB0" w:rsidRPr="002454EA" w:rsidRDefault="00F82EB0" w:rsidP="00F82EB0">
      <w:pPr>
        <w:pStyle w:val="Luettelokappale"/>
        <w:numPr>
          <w:ilvl w:val="0"/>
          <w:numId w:val="28"/>
        </w:numPr>
        <w:rPr>
          <w:rFonts w:ascii="Trebuchet MS" w:hAnsi="Trebuchet MS" w:cs="Arial"/>
          <w:sz w:val="22"/>
          <w:szCs w:val="22"/>
        </w:rPr>
      </w:pPr>
      <w:r w:rsidRPr="002454EA">
        <w:rPr>
          <w:rFonts w:ascii="Trebuchet MS" w:hAnsi="Trebuchet MS" w:cs="Arial"/>
          <w:sz w:val="22"/>
          <w:szCs w:val="22"/>
        </w:rPr>
        <w:t>paino</w:t>
      </w:r>
    </w:p>
    <w:p w14:paraId="5E153FBD" w14:textId="77777777" w:rsidR="00F82EB0" w:rsidRPr="002454EA" w:rsidRDefault="00F82EB0" w:rsidP="00F82EB0">
      <w:pPr>
        <w:pStyle w:val="Luettelokappale"/>
        <w:numPr>
          <w:ilvl w:val="0"/>
          <w:numId w:val="28"/>
        </w:numPr>
        <w:rPr>
          <w:rFonts w:ascii="Trebuchet MS" w:hAnsi="Trebuchet MS"/>
          <w:sz w:val="22"/>
          <w:szCs w:val="22"/>
        </w:rPr>
      </w:pPr>
      <w:r w:rsidRPr="002454EA">
        <w:rPr>
          <w:rFonts w:ascii="Trebuchet MS" w:hAnsi="Trebuchet MS" w:cs="Arial"/>
          <w:sz w:val="22"/>
          <w:szCs w:val="22"/>
        </w:rPr>
        <w:t>pituus</w:t>
      </w:r>
    </w:p>
    <w:p w14:paraId="5E153FBE" w14:textId="77777777" w:rsidR="00F82EB0" w:rsidRPr="000505CB" w:rsidRDefault="00F82EB0" w:rsidP="00ED431E">
      <w:pPr>
        <w:ind w:left="1276"/>
        <w:rPr>
          <w:rFonts w:ascii="Trebuchet MS" w:hAnsi="Trebuchet MS"/>
          <w:sz w:val="22"/>
          <w:szCs w:val="22"/>
        </w:rPr>
      </w:pPr>
    </w:p>
    <w:p w14:paraId="5E153FBF" w14:textId="77777777" w:rsidR="00266F58" w:rsidRDefault="00266F58" w:rsidP="00BF1C47">
      <w:pPr>
        <w:ind w:left="851" w:hanging="851"/>
        <w:rPr>
          <w:rFonts w:ascii="Trebuchet MS" w:hAnsi="Trebuchet MS"/>
          <w:sz w:val="22"/>
          <w:szCs w:val="22"/>
        </w:rPr>
      </w:pPr>
    </w:p>
    <w:p w14:paraId="5E153FC0" w14:textId="77777777" w:rsidR="00BF1C47" w:rsidRPr="00BF1C47" w:rsidRDefault="00BF1C47" w:rsidP="00BF1C47">
      <w:pPr>
        <w:ind w:left="851" w:hanging="851"/>
        <w:rPr>
          <w:rFonts w:ascii="Trebuchet MS" w:hAnsi="Trebuchet MS"/>
          <w:sz w:val="22"/>
          <w:szCs w:val="22"/>
        </w:rPr>
      </w:pPr>
      <w:r w:rsidRPr="00BF1C47">
        <w:rPr>
          <w:rFonts w:ascii="Trebuchet MS" w:hAnsi="Trebuchet MS"/>
          <w:sz w:val="22"/>
          <w:szCs w:val="22"/>
        </w:rPr>
        <w:t>RADIOLÄÄKKEEN ANTAMINEN</w:t>
      </w:r>
    </w:p>
    <w:p w14:paraId="5E153FC3" w14:textId="05562CB1" w:rsidR="00293F4C" w:rsidRDefault="00F82EB0" w:rsidP="00B411F5">
      <w:pPr>
        <w:pStyle w:val="Sisennettyleipteksti"/>
        <w:ind w:left="127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vertAlign w:val="superscript"/>
        </w:rPr>
        <w:t>68</w:t>
      </w:r>
      <w:r>
        <w:rPr>
          <w:rFonts w:ascii="Trebuchet MS" w:hAnsi="Trebuchet MS"/>
          <w:sz w:val="22"/>
          <w:szCs w:val="22"/>
        </w:rPr>
        <w:t>Ga</w:t>
      </w:r>
      <w:r w:rsidRPr="00BF1C47">
        <w:rPr>
          <w:rFonts w:ascii="Trebuchet MS" w:hAnsi="Trebuchet MS"/>
          <w:sz w:val="22"/>
          <w:szCs w:val="22"/>
        </w:rPr>
        <w:t>-</w:t>
      </w:r>
      <w:r>
        <w:rPr>
          <w:rFonts w:ascii="Trebuchet MS" w:hAnsi="Trebuchet MS"/>
          <w:sz w:val="22"/>
          <w:szCs w:val="22"/>
        </w:rPr>
        <w:t xml:space="preserve">edotreotidi (DotaToc) </w:t>
      </w:r>
      <w:r w:rsidR="00757B01">
        <w:rPr>
          <w:rFonts w:ascii="Trebuchet MS" w:hAnsi="Trebuchet MS"/>
          <w:sz w:val="22"/>
          <w:szCs w:val="22"/>
        </w:rPr>
        <w:t xml:space="preserve">annetaan </w:t>
      </w:r>
      <w:r w:rsidR="00BF1C47" w:rsidRPr="00BF1C47">
        <w:rPr>
          <w:rFonts w:ascii="Trebuchet MS" w:hAnsi="Trebuchet MS"/>
          <w:sz w:val="22"/>
          <w:szCs w:val="22"/>
        </w:rPr>
        <w:t>laskimonsisäisenä injektiona</w:t>
      </w:r>
      <w:r w:rsidR="0025209C">
        <w:rPr>
          <w:rFonts w:ascii="Trebuchet MS" w:hAnsi="Trebuchet MS"/>
          <w:sz w:val="22"/>
          <w:szCs w:val="22"/>
        </w:rPr>
        <w:t xml:space="preserve"> isotooppiosastolla</w:t>
      </w:r>
      <w:r w:rsidR="00BF1C47" w:rsidRPr="00BF1C47">
        <w:rPr>
          <w:rFonts w:ascii="Trebuchet MS" w:hAnsi="Trebuchet MS"/>
          <w:sz w:val="22"/>
          <w:szCs w:val="22"/>
        </w:rPr>
        <w:t>.</w:t>
      </w:r>
      <w:r w:rsidR="0025209C">
        <w:rPr>
          <w:rFonts w:ascii="Trebuchet MS" w:hAnsi="Trebuchet MS"/>
          <w:sz w:val="22"/>
          <w:szCs w:val="22"/>
        </w:rPr>
        <w:t xml:space="preserve"> </w:t>
      </w:r>
      <w:r w:rsidR="00757B01" w:rsidRPr="00757B01">
        <w:rPr>
          <w:rFonts w:ascii="Trebuchet MS" w:hAnsi="Trebuchet MS"/>
          <w:sz w:val="22"/>
          <w:szCs w:val="22"/>
        </w:rPr>
        <w:t xml:space="preserve">Laskimo kanyloidaan ennen radiolääkkeen annostelua, jotta radiolääke voidaan injisoida </w:t>
      </w:r>
      <w:r w:rsidR="00293F4C">
        <w:rPr>
          <w:rFonts w:ascii="Trebuchet MS" w:hAnsi="Trebuchet MS"/>
          <w:sz w:val="22"/>
          <w:szCs w:val="22"/>
        </w:rPr>
        <w:t>h</w:t>
      </w:r>
      <w:r w:rsidR="00757B01" w:rsidRPr="00757B01">
        <w:rPr>
          <w:rFonts w:ascii="Trebuchet MS" w:hAnsi="Trebuchet MS"/>
          <w:sz w:val="22"/>
          <w:szCs w:val="22"/>
        </w:rPr>
        <w:t xml:space="preserve">eti </w:t>
      </w:r>
      <w:r w:rsidR="00293F4C">
        <w:rPr>
          <w:rFonts w:ascii="Trebuchet MS" w:hAnsi="Trebuchet MS"/>
          <w:sz w:val="22"/>
          <w:szCs w:val="22"/>
        </w:rPr>
        <w:t xml:space="preserve">radiolääkkeen valmistuksen </w:t>
      </w:r>
      <w:r w:rsidR="00757B01" w:rsidRPr="00757B01">
        <w:rPr>
          <w:rFonts w:ascii="Trebuchet MS" w:hAnsi="Trebuchet MS"/>
          <w:sz w:val="22"/>
          <w:szCs w:val="22"/>
        </w:rPr>
        <w:t>jälkeen.</w:t>
      </w:r>
    </w:p>
    <w:p w14:paraId="5E153FC4" w14:textId="77777777" w:rsidR="00BF1C47" w:rsidRPr="00BF1C47" w:rsidRDefault="00BF1C47" w:rsidP="00BF1C47">
      <w:pPr>
        <w:ind w:left="851" w:hanging="851"/>
        <w:rPr>
          <w:rFonts w:ascii="Trebuchet MS" w:hAnsi="Trebuchet MS"/>
          <w:sz w:val="22"/>
          <w:szCs w:val="22"/>
        </w:rPr>
      </w:pPr>
      <w:r w:rsidRPr="00BF1C47">
        <w:rPr>
          <w:rFonts w:ascii="Trebuchet MS" w:hAnsi="Trebuchet MS"/>
          <w:sz w:val="22"/>
          <w:szCs w:val="22"/>
        </w:rPr>
        <w:lastRenderedPageBreak/>
        <w:t>LAITTEET</w:t>
      </w:r>
    </w:p>
    <w:p w14:paraId="5E153FC5" w14:textId="28BC7BAA" w:rsidR="00871191" w:rsidRPr="000F64AE" w:rsidRDefault="00871191" w:rsidP="00871191">
      <w:pPr>
        <w:pStyle w:val="Sisennettyleipteksti"/>
        <w:ind w:left="851" w:firstLine="425"/>
        <w:rPr>
          <w:rFonts w:ascii="Trebuchet MS" w:hAnsi="Trebuchet MS"/>
          <w:sz w:val="22"/>
          <w:szCs w:val="22"/>
        </w:rPr>
      </w:pPr>
      <w:r w:rsidRPr="000F64AE">
        <w:rPr>
          <w:rFonts w:ascii="Trebuchet MS" w:hAnsi="Trebuchet MS"/>
          <w:sz w:val="22"/>
          <w:szCs w:val="22"/>
        </w:rPr>
        <w:t xml:space="preserve">Kuvauslaite </w:t>
      </w:r>
      <w:r w:rsidR="00B411F5">
        <w:rPr>
          <w:rFonts w:ascii="Trebuchet MS" w:hAnsi="Trebuchet MS"/>
          <w:sz w:val="22"/>
          <w:szCs w:val="22"/>
        </w:rPr>
        <w:t xml:space="preserve">Siemens </w:t>
      </w:r>
      <w:r w:rsidR="00B411F5">
        <w:rPr>
          <w:rFonts w:ascii="Trebuchet MS" w:hAnsi="Trebuchet MS"/>
          <w:sz w:val="22"/>
          <w:szCs w:val="22"/>
        </w:rPr>
        <w:t>Biograph Vision 600</w:t>
      </w:r>
      <w:r w:rsidR="00B411F5">
        <w:rPr>
          <w:rFonts w:ascii="Trebuchet MS" w:hAnsi="Trebuchet MS"/>
          <w:sz w:val="22"/>
          <w:szCs w:val="22"/>
        </w:rPr>
        <w:t xml:space="preserve"> PET-TT</w:t>
      </w:r>
      <w:r w:rsidRPr="000F64AE">
        <w:rPr>
          <w:rFonts w:ascii="Trebuchet MS" w:hAnsi="Trebuchet MS"/>
          <w:sz w:val="22"/>
          <w:szCs w:val="22"/>
        </w:rPr>
        <w:t xml:space="preserve"> (keskusröntgen)</w:t>
      </w:r>
    </w:p>
    <w:p w14:paraId="5E153FC6" w14:textId="77777777" w:rsidR="00BF1C47" w:rsidRPr="00BF1C47" w:rsidRDefault="00BF1C47" w:rsidP="00BF1C47">
      <w:pPr>
        <w:tabs>
          <w:tab w:val="left" w:pos="3119"/>
        </w:tabs>
        <w:ind w:left="851"/>
        <w:rPr>
          <w:rFonts w:ascii="Trebuchet MS" w:hAnsi="Trebuchet MS"/>
          <w:sz w:val="22"/>
          <w:szCs w:val="22"/>
        </w:rPr>
      </w:pPr>
    </w:p>
    <w:p w14:paraId="5E153FC7" w14:textId="77777777" w:rsidR="00871191" w:rsidRPr="00871191" w:rsidRDefault="0025209C" w:rsidP="00871191">
      <w:pPr>
        <w:pStyle w:val="Sisennettyleipteksti"/>
        <w:ind w:left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KUVAUK</w:t>
      </w:r>
      <w:r w:rsidR="00871191" w:rsidRPr="00871191">
        <w:rPr>
          <w:rFonts w:ascii="Trebuchet MS" w:hAnsi="Trebuchet MS"/>
          <w:sz w:val="22"/>
          <w:szCs w:val="22"/>
        </w:rPr>
        <w:t>SEN SUORITUS</w:t>
      </w:r>
    </w:p>
    <w:p w14:paraId="5E153FC8" w14:textId="77777777" w:rsidR="00622F84" w:rsidRDefault="0025209C" w:rsidP="00871191">
      <w:pPr>
        <w:pStyle w:val="Sisennettyleipteksti"/>
        <w:ind w:left="127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Potilas </w:t>
      </w:r>
      <w:r w:rsidR="00293F4C">
        <w:rPr>
          <w:rFonts w:ascii="Trebuchet MS" w:hAnsi="Trebuchet MS"/>
          <w:sz w:val="22"/>
          <w:szCs w:val="22"/>
        </w:rPr>
        <w:t>saate</w:t>
      </w:r>
      <w:r w:rsidR="00622F84">
        <w:rPr>
          <w:rFonts w:ascii="Trebuchet MS" w:hAnsi="Trebuchet MS"/>
          <w:sz w:val="22"/>
          <w:szCs w:val="22"/>
        </w:rPr>
        <w:t>taan keskusröntgeniin kuvattavaksi.</w:t>
      </w:r>
    </w:p>
    <w:p w14:paraId="5E153FC9" w14:textId="77777777" w:rsidR="00622F84" w:rsidRDefault="00622F84" w:rsidP="00871191">
      <w:pPr>
        <w:pStyle w:val="Sisennettyleipteksti"/>
        <w:ind w:left="1276"/>
        <w:rPr>
          <w:rFonts w:ascii="Trebuchet MS" w:hAnsi="Trebuchet MS"/>
          <w:sz w:val="22"/>
          <w:szCs w:val="22"/>
        </w:rPr>
      </w:pPr>
    </w:p>
    <w:p w14:paraId="5E153FCA" w14:textId="77777777" w:rsidR="00871191" w:rsidRPr="00871191" w:rsidRDefault="00871191" w:rsidP="00871191">
      <w:pPr>
        <w:pStyle w:val="Sisennettyleipteksti"/>
        <w:ind w:left="1276"/>
        <w:rPr>
          <w:rFonts w:ascii="Trebuchet MS" w:hAnsi="Trebuchet MS"/>
          <w:sz w:val="22"/>
          <w:szCs w:val="22"/>
        </w:rPr>
      </w:pPr>
      <w:r w:rsidRPr="00871191">
        <w:rPr>
          <w:rFonts w:ascii="Trebuchet MS" w:hAnsi="Trebuchet MS"/>
          <w:sz w:val="22"/>
          <w:szCs w:val="22"/>
        </w:rPr>
        <w:t xml:space="preserve">Tasan tunnin kuluttua </w:t>
      </w:r>
      <w:r w:rsidR="001B7BF6">
        <w:rPr>
          <w:rFonts w:ascii="Trebuchet MS" w:hAnsi="Trebuchet MS"/>
          <w:sz w:val="22"/>
          <w:szCs w:val="22"/>
          <w:vertAlign w:val="superscript"/>
        </w:rPr>
        <w:t>68</w:t>
      </w:r>
      <w:r w:rsidR="001B7BF6">
        <w:rPr>
          <w:rFonts w:ascii="Trebuchet MS" w:hAnsi="Trebuchet MS"/>
          <w:sz w:val="22"/>
          <w:szCs w:val="22"/>
        </w:rPr>
        <w:t>Ga</w:t>
      </w:r>
      <w:r w:rsidR="001B7BF6" w:rsidRPr="00BF1C47">
        <w:rPr>
          <w:rFonts w:ascii="Trebuchet MS" w:hAnsi="Trebuchet MS"/>
          <w:sz w:val="22"/>
          <w:szCs w:val="22"/>
        </w:rPr>
        <w:t>-</w:t>
      </w:r>
      <w:r w:rsidR="001B7BF6">
        <w:rPr>
          <w:rFonts w:ascii="Trebuchet MS" w:hAnsi="Trebuchet MS"/>
          <w:sz w:val="22"/>
          <w:szCs w:val="22"/>
        </w:rPr>
        <w:t>edotreotidi (DotaToc)</w:t>
      </w:r>
      <w:r>
        <w:rPr>
          <w:rFonts w:ascii="Trebuchet MS" w:hAnsi="Trebuchet MS"/>
          <w:sz w:val="22"/>
          <w:szCs w:val="22"/>
        </w:rPr>
        <w:t>-</w:t>
      </w:r>
      <w:r w:rsidRPr="00871191">
        <w:rPr>
          <w:rFonts w:ascii="Trebuchet MS" w:hAnsi="Trebuchet MS"/>
          <w:sz w:val="22"/>
          <w:szCs w:val="22"/>
        </w:rPr>
        <w:t>in</w:t>
      </w:r>
      <w:r w:rsidRPr="00871191">
        <w:rPr>
          <w:rFonts w:ascii="Trebuchet MS" w:hAnsi="Trebuchet MS"/>
          <w:sz w:val="22"/>
          <w:szCs w:val="22"/>
        </w:rPr>
        <w:softHyphen/>
        <w:t xml:space="preserve">jektiosta tehdään matalavirta TT, jonka jälkeen suoritetaan positroniemissiotografiakuvaus. Kokokehon kuvaus </w:t>
      </w:r>
      <w:r w:rsidR="00F82EB0">
        <w:rPr>
          <w:rFonts w:ascii="Trebuchet MS" w:hAnsi="Trebuchet MS"/>
          <w:sz w:val="22"/>
          <w:szCs w:val="22"/>
        </w:rPr>
        <w:t>päälaelta</w:t>
      </w:r>
      <w:r w:rsidRPr="00871191">
        <w:rPr>
          <w:rFonts w:ascii="Trebuchet MS" w:hAnsi="Trebuchet MS"/>
          <w:sz w:val="22"/>
          <w:szCs w:val="22"/>
        </w:rPr>
        <w:t xml:space="preserve"> reisien yläosiin kestää poti</w:t>
      </w:r>
      <w:r>
        <w:rPr>
          <w:rFonts w:ascii="Trebuchet MS" w:hAnsi="Trebuchet MS"/>
          <w:sz w:val="22"/>
          <w:szCs w:val="22"/>
        </w:rPr>
        <w:t>laan asetteluineen noin 25 min.</w:t>
      </w:r>
    </w:p>
    <w:p w14:paraId="5E153FCB" w14:textId="77777777" w:rsidR="00871191" w:rsidRPr="00871191" w:rsidRDefault="00871191" w:rsidP="00871191">
      <w:pPr>
        <w:pStyle w:val="Sisennettyleipteksti"/>
        <w:numPr>
          <w:ilvl w:val="0"/>
          <w:numId w:val="25"/>
        </w:numPr>
        <w:ind w:left="1701" w:hanging="425"/>
        <w:rPr>
          <w:rFonts w:ascii="Trebuchet MS" w:hAnsi="Trebuchet MS"/>
          <w:sz w:val="22"/>
          <w:szCs w:val="22"/>
        </w:rPr>
      </w:pPr>
      <w:r w:rsidRPr="00871191">
        <w:rPr>
          <w:rFonts w:ascii="Trebuchet MS" w:hAnsi="Trebuchet MS"/>
          <w:sz w:val="22"/>
          <w:szCs w:val="22"/>
        </w:rPr>
        <w:t>Potilas tyhjentää virtsarakkonsa tai virtsankeräyspussi tyhjennetään juuri ennen kuvauksen alkamista.</w:t>
      </w:r>
    </w:p>
    <w:p w14:paraId="5E153FCC" w14:textId="77777777" w:rsidR="00871191" w:rsidRPr="00871191" w:rsidRDefault="00871191" w:rsidP="00871191">
      <w:pPr>
        <w:pStyle w:val="Luettelokappale"/>
        <w:numPr>
          <w:ilvl w:val="0"/>
          <w:numId w:val="25"/>
        </w:numPr>
        <w:ind w:left="1701" w:hanging="425"/>
        <w:rPr>
          <w:rFonts w:ascii="Trebuchet MS" w:hAnsi="Trebuchet MS"/>
          <w:sz w:val="22"/>
          <w:szCs w:val="22"/>
        </w:rPr>
      </w:pPr>
      <w:r w:rsidRPr="00871191">
        <w:rPr>
          <w:rFonts w:ascii="Trebuchet MS" w:hAnsi="Trebuchet MS"/>
          <w:sz w:val="22"/>
          <w:szCs w:val="22"/>
        </w:rPr>
        <w:t>Metalliesineet poistetaan kuvattavalta alueelta ennen kuvausta.</w:t>
      </w:r>
    </w:p>
    <w:p w14:paraId="5E153FCD" w14:textId="77777777" w:rsidR="00871191" w:rsidRPr="00871191" w:rsidRDefault="00871191" w:rsidP="00871191">
      <w:pPr>
        <w:pStyle w:val="Sisennettyleipteksti"/>
        <w:numPr>
          <w:ilvl w:val="0"/>
          <w:numId w:val="25"/>
        </w:numPr>
        <w:ind w:left="1701" w:hanging="425"/>
        <w:rPr>
          <w:rFonts w:ascii="Trebuchet MS" w:hAnsi="Trebuchet MS"/>
          <w:sz w:val="22"/>
          <w:szCs w:val="22"/>
        </w:rPr>
      </w:pPr>
      <w:r w:rsidRPr="00871191">
        <w:rPr>
          <w:rFonts w:ascii="Trebuchet MS" w:hAnsi="Trebuchet MS"/>
          <w:sz w:val="22"/>
          <w:szCs w:val="22"/>
        </w:rPr>
        <w:t>Asettele ja tue potilas hyvin, potilaan on oltava liikkumatta kuvauksen ajan. Pään ja kaulan alueen kuvauksessa pään liikkumattomuus on erityisen tärkeä.</w:t>
      </w:r>
    </w:p>
    <w:p w14:paraId="5E153FCE" w14:textId="77777777" w:rsidR="00F82EB0" w:rsidRDefault="00F82EB0" w:rsidP="00871191">
      <w:pPr>
        <w:pStyle w:val="Sisennettyleipteksti"/>
        <w:ind w:left="1276"/>
        <w:rPr>
          <w:rFonts w:ascii="Trebuchet MS" w:hAnsi="Trebuchet MS"/>
          <w:sz w:val="22"/>
          <w:szCs w:val="22"/>
        </w:rPr>
      </w:pPr>
    </w:p>
    <w:p w14:paraId="5E153FCF" w14:textId="77777777" w:rsidR="00871191" w:rsidRPr="00871191" w:rsidRDefault="000A379C" w:rsidP="00871191">
      <w:pPr>
        <w:pStyle w:val="Sisennettyleipteksti"/>
        <w:ind w:left="127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Tutkimus kestää noin 2</w:t>
      </w:r>
      <w:r w:rsidR="00871191" w:rsidRPr="00871191">
        <w:rPr>
          <w:rFonts w:ascii="Trebuchet MS" w:hAnsi="Trebuchet MS"/>
          <w:sz w:val="22"/>
          <w:szCs w:val="22"/>
        </w:rPr>
        <w:t xml:space="preserve"> tuntia.</w:t>
      </w:r>
    </w:p>
    <w:p w14:paraId="5E153FD0" w14:textId="77777777" w:rsidR="00871191" w:rsidRPr="00871191" w:rsidRDefault="00871191" w:rsidP="00871191">
      <w:pPr>
        <w:ind w:left="851"/>
        <w:rPr>
          <w:rFonts w:ascii="Trebuchet MS" w:hAnsi="Trebuchet MS"/>
          <w:sz w:val="22"/>
          <w:szCs w:val="22"/>
        </w:rPr>
      </w:pPr>
    </w:p>
    <w:p w14:paraId="5E153FD1" w14:textId="77777777" w:rsidR="00871191" w:rsidRPr="00871191" w:rsidRDefault="00871191" w:rsidP="00871191">
      <w:pPr>
        <w:rPr>
          <w:rFonts w:ascii="Trebuchet MS" w:hAnsi="Trebuchet MS"/>
          <w:sz w:val="22"/>
          <w:szCs w:val="22"/>
        </w:rPr>
      </w:pPr>
      <w:r w:rsidRPr="00871191">
        <w:rPr>
          <w:rFonts w:ascii="Trebuchet MS" w:hAnsi="Trebuchet MS"/>
          <w:sz w:val="22"/>
          <w:szCs w:val="22"/>
        </w:rPr>
        <w:t>TULOS</w:t>
      </w:r>
    </w:p>
    <w:p w14:paraId="5E153FD2" w14:textId="77777777" w:rsidR="00396875" w:rsidRPr="000A379C" w:rsidRDefault="004C2CD3" w:rsidP="00F82EB0">
      <w:pPr>
        <w:shd w:val="clear" w:color="auto" w:fill="FFFFFF"/>
        <w:spacing w:line="276" w:lineRule="auto"/>
        <w:ind w:left="1276"/>
        <w:rPr>
          <w:rFonts w:ascii="Trebuchet MS" w:hAnsi="Trebuchet MS"/>
          <w:color w:val="000000"/>
          <w:sz w:val="22"/>
          <w:szCs w:val="22"/>
        </w:rPr>
      </w:pPr>
      <w:r w:rsidRPr="000A379C">
        <w:rPr>
          <w:rFonts w:ascii="Trebuchet MS" w:hAnsi="Trebuchet MS"/>
          <w:sz w:val="22"/>
          <w:szCs w:val="22"/>
        </w:rPr>
        <w:t xml:space="preserve">Lääkäri analysoi kuvat. </w:t>
      </w:r>
      <w:r w:rsidRPr="000A379C">
        <w:rPr>
          <w:rFonts w:ascii="Trebuchet MS" w:hAnsi="Trebuchet MS"/>
          <w:color w:val="000000"/>
          <w:sz w:val="22"/>
          <w:szCs w:val="22"/>
        </w:rPr>
        <w:t xml:space="preserve">Tutkimuksesta annetaan lausunto. </w:t>
      </w:r>
    </w:p>
    <w:p w14:paraId="5E153FD3" w14:textId="77777777" w:rsidR="004C2CD3" w:rsidRPr="000A379C" w:rsidRDefault="004C2CD3" w:rsidP="00F82EB0">
      <w:pPr>
        <w:shd w:val="clear" w:color="auto" w:fill="FFFFFF"/>
        <w:spacing w:line="276" w:lineRule="auto"/>
        <w:ind w:left="1276"/>
        <w:rPr>
          <w:rFonts w:ascii="Trebuchet MS" w:hAnsi="Trebuchet MS"/>
          <w:color w:val="000000"/>
          <w:sz w:val="22"/>
          <w:szCs w:val="22"/>
        </w:rPr>
      </w:pPr>
      <w:r w:rsidRPr="000A379C">
        <w:rPr>
          <w:rFonts w:ascii="Trebuchet MS" w:hAnsi="Trebuchet MS"/>
          <w:color w:val="000000"/>
          <w:sz w:val="22"/>
          <w:szCs w:val="22"/>
        </w:rPr>
        <w:t>Normaalia fysiologista kertymää nähdään useissa elimissä</w:t>
      </w:r>
      <w:r w:rsidR="00396875" w:rsidRPr="000A379C">
        <w:rPr>
          <w:rFonts w:ascii="Trebuchet MS" w:hAnsi="Trebuchet MS"/>
          <w:color w:val="000000"/>
          <w:sz w:val="22"/>
          <w:szCs w:val="22"/>
        </w:rPr>
        <w:t xml:space="preserve"> (perna, munuaiset, maksa, aivolisäke, kilpirauhanen ja lisämunuaiset)</w:t>
      </w:r>
      <w:r w:rsidRPr="000A379C">
        <w:rPr>
          <w:rFonts w:ascii="Trebuchet MS" w:hAnsi="Trebuchet MS"/>
          <w:color w:val="000000"/>
          <w:sz w:val="22"/>
          <w:szCs w:val="22"/>
        </w:rPr>
        <w:t>. Haiman</w:t>
      </w:r>
      <w:r w:rsidR="00396875" w:rsidRPr="000A379C">
        <w:rPr>
          <w:rFonts w:ascii="Trebuchet MS" w:hAnsi="Trebuchet MS"/>
          <w:color w:val="000000"/>
          <w:sz w:val="22"/>
          <w:szCs w:val="22"/>
        </w:rPr>
        <w:t xml:space="preserve"> hakalisäkkeessä</w:t>
      </w:r>
      <w:r w:rsidRPr="000A379C">
        <w:rPr>
          <w:rFonts w:ascii="Trebuchet MS" w:hAnsi="Trebuchet MS"/>
          <w:color w:val="000000"/>
          <w:sz w:val="22"/>
          <w:szCs w:val="22"/>
        </w:rPr>
        <w:t xml:space="preserve"> voi olla voimakastakin fysiologista kertymää. Maksan normaalin kertymän ylittävä kertymä, joka on alueella, jolla ei normaalisti ole fysiologista kertymää, tulkitaan patologiseksi. </w:t>
      </w:r>
    </w:p>
    <w:p w14:paraId="5E153FD4" w14:textId="77777777" w:rsidR="00871191" w:rsidRPr="000A379C" w:rsidRDefault="00871191" w:rsidP="00F82EB0">
      <w:pPr>
        <w:ind w:left="1276"/>
        <w:rPr>
          <w:rFonts w:ascii="Trebuchet MS" w:hAnsi="Trebuchet MS"/>
          <w:sz w:val="22"/>
          <w:szCs w:val="22"/>
        </w:rPr>
      </w:pPr>
      <w:r w:rsidRPr="000A379C">
        <w:rPr>
          <w:rFonts w:ascii="Trebuchet MS" w:hAnsi="Trebuchet MS"/>
          <w:sz w:val="22"/>
          <w:szCs w:val="22"/>
        </w:rPr>
        <w:t>Kuvat tallennetaan digitaaliseen arkistoon.</w:t>
      </w:r>
    </w:p>
    <w:p w14:paraId="5E153FD5" w14:textId="77777777" w:rsidR="00871191" w:rsidRPr="000A379C" w:rsidRDefault="00871191" w:rsidP="00871191">
      <w:pPr>
        <w:rPr>
          <w:rFonts w:ascii="Trebuchet MS" w:hAnsi="Trebuchet MS"/>
          <w:sz w:val="22"/>
          <w:szCs w:val="22"/>
        </w:rPr>
      </w:pPr>
    </w:p>
    <w:p w14:paraId="5E153FD6" w14:textId="77777777" w:rsidR="00871191" w:rsidRPr="00871191" w:rsidRDefault="00871191" w:rsidP="00871191">
      <w:pPr>
        <w:rPr>
          <w:rFonts w:ascii="Trebuchet MS" w:hAnsi="Trebuchet MS"/>
          <w:sz w:val="22"/>
          <w:szCs w:val="22"/>
        </w:rPr>
      </w:pPr>
      <w:r w:rsidRPr="00871191">
        <w:rPr>
          <w:rFonts w:ascii="Trebuchet MS" w:hAnsi="Trebuchet MS"/>
          <w:sz w:val="22"/>
          <w:szCs w:val="22"/>
        </w:rPr>
        <w:t>HUOMAUTUKSET</w:t>
      </w:r>
    </w:p>
    <w:p w14:paraId="5E153FD7" w14:textId="77777777" w:rsidR="00871191" w:rsidRPr="00871191" w:rsidRDefault="00871191" w:rsidP="00871191">
      <w:pPr>
        <w:pStyle w:val="Luettelokappale"/>
        <w:numPr>
          <w:ilvl w:val="0"/>
          <w:numId w:val="26"/>
        </w:numPr>
        <w:ind w:left="1701" w:hanging="425"/>
        <w:rPr>
          <w:rFonts w:ascii="Trebuchet MS" w:hAnsi="Trebuchet MS"/>
          <w:sz w:val="22"/>
          <w:szCs w:val="22"/>
        </w:rPr>
      </w:pPr>
      <w:r w:rsidRPr="00871191">
        <w:rPr>
          <w:rFonts w:ascii="Trebuchet MS" w:hAnsi="Trebuchet MS"/>
          <w:sz w:val="22"/>
          <w:szCs w:val="22"/>
        </w:rPr>
        <w:t xml:space="preserve">Potilaan pituus, paino ja radiolääkkeen annostiedot </w:t>
      </w:r>
      <w:r w:rsidR="00F749C6">
        <w:rPr>
          <w:rFonts w:ascii="Trebuchet MS" w:hAnsi="Trebuchet MS"/>
          <w:sz w:val="22"/>
          <w:szCs w:val="22"/>
        </w:rPr>
        <w:t xml:space="preserve">(PRE- ja POST –annos) </w:t>
      </w:r>
      <w:r w:rsidRPr="00871191">
        <w:rPr>
          <w:rFonts w:ascii="Trebuchet MS" w:hAnsi="Trebuchet MS"/>
          <w:sz w:val="22"/>
          <w:szCs w:val="22"/>
        </w:rPr>
        <w:t>kirjataan tarkasti ennen kuvauksen aloitusta, koska ne vaikuttavat potilaan tutkimustuloksiin (SUV-arvo).</w:t>
      </w:r>
    </w:p>
    <w:p w14:paraId="5E153FD8" w14:textId="77777777" w:rsidR="00871191" w:rsidRPr="00871191" w:rsidRDefault="00871191" w:rsidP="00871191">
      <w:pPr>
        <w:pStyle w:val="Luettelokappale"/>
        <w:numPr>
          <w:ilvl w:val="0"/>
          <w:numId w:val="26"/>
        </w:numPr>
        <w:ind w:left="1701" w:hanging="425"/>
        <w:rPr>
          <w:rFonts w:ascii="Trebuchet MS" w:hAnsi="Trebuchet MS"/>
          <w:sz w:val="22"/>
          <w:szCs w:val="22"/>
        </w:rPr>
      </w:pPr>
      <w:r w:rsidRPr="00871191">
        <w:rPr>
          <w:rFonts w:ascii="Trebuchet MS" w:hAnsi="Trebuchet MS"/>
          <w:sz w:val="22"/>
          <w:szCs w:val="22"/>
        </w:rPr>
        <w:t>Tutkimuspäivänä kuvauksen jälkeen potila</w:t>
      </w:r>
      <w:r w:rsidR="00757B01">
        <w:rPr>
          <w:rFonts w:ascii="Trebuchet MS" w:hAnsi="Trebuchet MS"/>
          <w:sz w:val="22"/>
          <w:szCs w:val="22"/>
        </w:rPr>
        <w:t>an tulisi juoda</w:t>
      </w:r>
      <w:r w:rsidRPr="00871191">
        <w:rPr>
          <w:rFonts w:ascii="Trebuchet MS" w:hAnsi="Trebuchet MS"/>
          <w:sz w:val="22"/>
          <w:szCs w:val="22"/>
        </w:rPr>
        <w:t xml:space="preserve"> taval</w:t>
      </w:r>
      <w:r w:rsidRPr="00871191">
        <w:rPr>
          <w:rFonts w:ascii="Trebuchet MS" w:hAnsi="Trebuchet MS"/>
          <w:sz w:val="22"/>
          <w:szCs w:val="22"/>
        </w:rPr>
        <w:softHyphen/>
        <w:t>lista enemmän virtsarakon täyttämiseksi ja tyhjentää rakkonsa usein, jotta sädeannos jäisi mah</w:t>
      </w:r>
      <w:r w:rsidRPr="00871191">
        <w:rPr>
          <w:rFonts w:ascii="Trebuchet MS" w:hAnsi="Trebuchet MS"/>
          <w:sz w:val="22"/>
          <w:szCs w:val="22"/>
        </w:rPr>
        <w:softHyphen/>
        <w:t>dollisim</w:t>
      </w:r>
      <w:r w:rsidRPr="00871191">
        <w:rPr>
          <w:rFonts w:ascii="Trebuchet MS" w:hAnsi="Trebuchet MS"/>
          <w:sz w:val="22"/>
          <w:szCs w:val="22"/>
        </w:rPr>
        <w:softHyphen/>
        <w:t xml:space="preserve">man pieneksi. WC- hygieniaan on kiinnitettävä huomiota: myös </w:t>
      </w:r>
      <w:r w:rsidRPr="00871191">
        <w:rPr>
          <w:rFonts w:ascii="Trebuchet MS" w:hAnsi="Trebuchet MS"/>
          <w:sz w:val="22"/>
          <w:szCs w:val="22"/>
        </w:rPr>
        <w:lastRenderedPageBreak/>
        <w:t>miesten on virtsattava istualtaan, sukupuolielimet kuivataan huolellisesti paperilla, WC-pönttö huuhdellaan välittömästi ja kädet pestään hyvin.</w:t>
      </w:r>
    </w:p>
    <w:p w14:paraId="5E153FD9" w14:textId="77777777" w:rsidR="00871191" w:rsidRDefault="001B7BF6" w:rsidP="00871191">
      <w:pPr>
        <w:pStyle w:val="Luettelokappale"/>
        <w:numPr>
          <w:ilvl w:val="0"/>
          <w:numId w:val="26"/>
        </w:numPr>
        <w:ind w:left="1701" w:hanging="425"/>
        <w:rPr>
          <w:rStyle w:val="Hyperlinkki"/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Imetystauko 8</w:t>
      </w:r>
      <w:r w:rsidR="00871191" w:rsidRPr="00871191">
        <w:rPr>
          <w:rFonts w:ascii="Trebuchet MS" w:hAnsi="Trebuchet MS"/>
          <w:sz w:val="22"/>
          <w:szCs w:val="22"/>
        </w:rPr>
        <w:t xml:space="preserve"> tuntia</w:t>
      </w:r>
      <w:r w:rsidR="00871191" w:rsidRPr="00B411F5">
        <w:rPr>
          <w:rFonts w:ascii="Trebuchet MS" w:hAnsi="Trebuchet MS"/>
          <w:sz w:val="22"/>
          <w:szCs w:val="22"/>
        </w:rPr>
        <w:t>.</w:t>
      </w:r>
      <w:r w:rsidR="00871191" w:rsidRPr="00871191">
        <w:rPr>
          <w:rFonts w:ascii="Trebuchet MS" w:hAnsi="Trebuchet MS"/>
          <w:color w:val="000000"/>
          <w:sz w:val="22"/>
          <w:szCs w:val="22"/>
        </w:rPr>
        <w:t xml:space="preserve"> Tänä aika</w:t>
      </w:r>
      <w:bookmarkStart w:id="0" w:name="_GoBack"/>
      <w:bookmarkEnd w:id="0"/>
      <w:r w:rsidR="00871191" w:rsidRPr="00871191">
        <w:rPr>
          <w:rFonts w:ascii="Trebuchet MS" w:hAnsi="Trebuchet MS"/>
          <w:color w:val="000000"/>
          <w:sz w:val="22"/>
          <w:szCs w:val="22"/>
        </w:rPr>
        <w:t>na kertyvä maito on hävitettävä.</w:t>
      </w:r>
      <w:r w:rsidR="00293F4C">
        <w:rPr>
          <w:rFonts w:ascii="Trebuchet MS" w:hAnsi="Trebuchet MS"/>
          <w:color w:val="000000"/>
          <w:sz w:val="22"/>
          <w:szCs w:val="22"/>
        </w:rPr>
        <w:t xml:space="preserve"> Imettävän äidin</w:t>
      </w:r>
      <w:r w:rsidR="00871191" w:rsidRPr="00871191">
        <w:rPr>
          <w:rFonts w:ascii="Trebuchet MS" w:hAnsi="Trebuchet MS"/>
          <w:color w:val="000000"/>
          <w:sz w:val="22"/>
          <w:szCs w:val="22"/>
        </w:rPr>
        <w:t xml:space="preserve"> </w:t>
      </w:r>
      <w:r w:rsidR="00293F4C" w:rsidRPr="00871191">
        <w:rPr>
          <w:rFonts w:ascii="Trebuchet MS" w:hAnsi="Trebuchet MS"/>
          <w:color w:val="000000"/>
          <w:sz w:val="22"/>
          <w:szCs w:val="22"/>
        </w:rPr>
        <w:t xml:space="preserve">on vältettävä </w:t>
      </w:r>
      <w:r w:rsidR="00293F4C">
        <w:rPr>
          <w:rFonts w:ascii="Trebuchet MS" w:hAnsi="Trebuchet MS"/>
          <w:color w:val="000000"/>
          <w:sz w:val="22"/>
          <w:szCs w:val="22"/>
        </w:rPr>
        <w:t>m</w:t>
      </w:r>
      <w:r w:rsidR="00871191" w:rsidRPr="00871191">
        <w:rPr>
          <w:rFonts w:ascii="Trebuchet MS" w:hAnsi="Trebuchet MS"/>
          <w:color w:val="000000"/>
          <w:sz w:val="22"/>
          <w:szCs w:val="22"/>
        </w:rPr>
        <w:t>yös muuta läheistä k</w:t>
      </w:r>
      <w:r>
        <w:rPr>
          <w:rFonts w:ascii="Trebuchet MS" w:hAnsi="Trebuchet MS"/>
          <w:color w:val="000000"/>
          <w:sz w:val="22"/>
          <w:szCs w:val="22"/>
        </w:rPr>
        <w:t>anssakäymistä vauvojen kanssa 8</w:t>
      </w:r>
      <w:r w:rsidR="00871191" w:rsidRPr="00871191">
        <w:rPr>
          <w:rFonts w:ascii="Trebuchet MS" w:hAnsi="Trebuchet MS"/>
          <w:color w:val="000000"/>
          <w:sz w:val="22"/>
          <w:szCs w:val="22"/>
        </w:rPr>
        <w:t xml:space="preserve"> tunnin ajan. K</w:t>
      </w:r>
      <w:r w:rsidR="00871191" w:rsidRPr="00871191">
        <w:rPr>
          <w:rFonts w:ascii="Trebuchet MS" w:hAnsi="Trebuchet MS"/>
          <w:sz w:val="22"/>
          <w:szCs w:val="22"/>
        </w:rPr>
        <w:t xml:space="preserve">s. yleisohje Potilaan lähettäminen isotooppitutkimukseen: </w:t>
      </w:r>
      <w:hyperlink r:id="rId14" w:history="1">
        <w:r w:rsidR="00871191" w:rsidRPr="00871191">
          <w:rPr>
            <w:rStyle w:val="Hyperlinkki"/>
            <w:rFonts w:ascii="Trebuchet MS" w:hAnsi="Trebuchet MS"/>
            <w:sz w:val="22"/>
            <w:szCs w:val="22"/>
          </w:rPr>
          <w:t>Syntymät</w:t>
        </w:r>
        <w:r w:rsidR="00871191" w:rsidRPr="00871191">
          <w:rPr>
            <w:rStyle w:val="Hyperlinkki"/>
            <w:rFonts w:ascii="Trebuchet MS" w:hAnsi="Trebuchet MS"/>
            <w:sz w:val="22"/>
            <w:szCs w:val="22"/>
          </w:rPr>
          <w:softHyphen/>
          <w:t>tömien ja vastasyntyneiden lasten suojeleminen vanhempien altistuessa säteilylle isotooppitutkimusten tai -hoitojen yhteydessä: Imettävät naiset.</w:t>
        </w:r>
      </w:hyperlink>
    </w:p>
    <w:p w14:paraId="5E153FDA" w14:textId="77777777" w:rsidR="00161B1E" w:rsidRDefault="00161B1E" w:rsidP="00161B1E">
      <w:pPr>
        <w:rPr>
          <w:rStyle w:val="Hyperlinkki"/>
          <w:rFonts w:ascii="Trebuchet MS" w:hAnsi="Trebuchet MS"/>
          <w:sz w:val="22"/>
          <w:szCs w:val="22"/>
        </w:rPr>
      </w:pPr>
    </w:p>
    <w:p w14:paraId="5E153FDB" w14:textId="77777777" w:rsidR="00161B1E" w:rsidRDefault="00161B1E" w:rsidP="00161B1E">
      <w:pPr>
        <w:numPr>
          <w:ilvl w:val="0"/>
          <w:numId w:val="16"/>
        </w:numPr>
        <w:tabs>
          <w:tab w:val="clear" w:pos="360"/>
          <w:tab w:val="left" w:pos="-1418"/>
        </w:tabs>
        <w:ind w:left="1701" w:hanging="42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Mielenkiintotieto eri kuvantamisaineiden hakeutumisesta eri somatostatiinireseptoreihin:</w:t>
      </w:r>
    </w:p>
    <w:p w14:paraId="5E153FDC" w14:textId="77777777" w:rsidR="00161B1E" w:rsidRPr="00AD783A" w:rsidRDefault="00161B1E" w:rsidP="00161B1E">
      <w:pPr>
        <w:tabs>
          <w:tab w:val="left" w:pos="-1418"/>
        </w:tabs>
        <w:ind w:left="15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(SSTR = somatostatiinireseptori)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</w:tblGrid>
      <w:tr w:rsidR="00161B1E" w14:paraId="5E153FE1" w14:textId="77777777" w:rsidTr="00161B1E">
        <w:tc>
          <w:tcPr>
            <w:tcW w:w="1843" w:type="dxa"/>
          </w:tcPr>
          <w:p w14:paraId="5E153FDD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153FDE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SSTR2</w:t>
            </w:r>
          </w:p>
        </w:tc>
        <w:tc>
          <w:tcPr>
            <w:tcW w:w="1276" w:type="dxa"/>
          </w:tcPr>
          <w:p w14:paraId="5E153FDF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SSTR3</w:t>
            </w:r>
          </w:p>
        </w:tc>
        <w:tc>
          <w:tcPr>
            <w:tcW w:w="1275" w:type="dxa"/>
          </w:tcPr>
          <w:p w14:paraId="5E153FE0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SSTR5</w:t>
            </w:r>
          </w:p>
        </w:tc>
      </w:tr>
      <w:tr w:rsidR="00161B1E" w14:paraId="5E153FE6" w14:textId="77777777" w:rsidTr="00161B1E">
        <w:tc>
          <w:tcPr>
            <w:tcW w:w="1843" w:type="dxa"/>
          </w:tcPr>
          <w:p w14:paraId="5E153FE2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vertAlign w:val="superscript"/>
              </w:rPr>
              <w:t>99</w:t>
            </w:r>
            <w:r>
              <w:rPr>
                <w:rFonts w:ascii="Trebuchet MS" w:hAnsi="Trebuchet MS"/>
                <w:sz w:val="22"/>
                <w:szCs w:val="22"/>
              </w:rPr>
              <w:t>Tc-Tektrotyd</w:t>
            </w:r>
          </w:p>
        </w:tc>
        <w:tc>
          <w:tcPr>
            <w:tcW w:w="1276" w:type="dxa"/>
          </w:tcPr>
          <w:p w14:paraId="5E153FE3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++</w:t>
            </w:r>
          </w:p>
        </w:tc>
        <w:tc>
          <w:tcPr>
            <w:tcW w:w="1276" w:type="dxa"/>
          </w:tcPr>
          <w:p w14:paraId="5E153FE4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(+)</w:t>
            </w:r>
          </w:p>
        </w:tc>
        <w:tc>
          <w:tcPr>
            <w:tcW w:w="1275" w:type="dxa"/>
          </w:tcPr>
          <w:p w14:paraId="5E153FE5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(+)</w:t>
            </w:r>
          </w:p>
        </w:tc>
      </w:tr>
      <w:tr w:rsidR="00161B1E" w14:paraId="5E153FEB" w14:textId="77777777" w:rsidTr="00161B1E">
        <w:tc>
          <w:tcPr>
            <w:tcW w:w="1843" w:type="dxa"/>
          </w:tcPr>
          <w:p w14:paraId="5E153FE7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vertAlign w:val="superscript"/>
              </w:rPr>
              <w:t>68</w:t>
            </w:r>
            <w:r>
              <w:rPr>
                <w:rFonts w:ascii="Trebuchet MS" w:hAnsi="Trebuchet MS"/>
                <w:sz w:val="22"/>
                <w:szCs w:val="22"/>
              </w:rPr>
              <w:t>Ga</w:t>
            </w:r>
            <w:r w:rsidRPr="00BF1C47">
              <w:rPr>
                <w:rFonts w:ascii="Trebuchet MS" w:hAnsi="Trebuchet MS"/>
                <w:sz w:val="22"/>
                <w:szCs w:val="22"/>
              </w:rPr>
              <w:t>-</w:t>
            </w:r>
            <w:r>
              <w:rPr>
                <w:rFonts w:ascii="Trebuchet MS" w:hAnsi="Trebuchet MS"/>
                <w:sz w:val="22"/>
                <w:szCs w:val="22"/>
              </w:rPr>
              <w:t>DOTA-NOC</w:t>
            </w:r>
          </w:p>
        </w:tc>
        <w:tc>
          <w:tcPr>
            <w:tcW w:w="1276" w:type="dxa"/>
          </w:tcPr>
          <w:p w14:paraId="5E153FE8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++</w:t>
            </w:r>
          </w:p>
        </w:tc>
        <w:tc>
          <w:tcPr>
            <w:tcW w:w="1276" w:type="dxa"/>
          </w:tcPr>
          <w:p w14:paraId="5E153FE9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++</w:t>
            </w:r>
          </w:p>
        </w:tc>
        <w:tc>
          <w:tcPr>
            <w:tcW w:w="1275" w:type="dxa"/>
          </w:tcPr>
          <w:p w14:paraId="5E153FEA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++</w:t>
            </w:r>
          </w:p>
        </w:tc>
      </w:tr>
      <w:tr w:rsidR="00161B1E" w14:paraId="5E153FF0" w14:textId="77777777" w:rsidTr="00161B1E">
        <w:tc>
          <w:tcPr>
            <w:tcW w:w="1843" w:type="dxa"/>
          </w:tcPr>
          <w:p w14:paraId="5E153FEC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vertAlign w:val="superscript"/>
              </w:rPr>
              <w:t>68</w:t>
            </w:r>
            <w:r>
              <w:rPr>
                <w:rFonts w:ascii="Trebuchet MS" w:hAnsi="Trebuchet MS"/>
                <w:sz w:val="22"/>
                <w:szCs w:val="22"/>
              </w:rPr>
              <w:t>Ga</w:t>
            </w:r>
            <w:r w:rsidRPr="00BF1C47">
              <w:rPr>
                <w:rFonts w:ascii="Trebuchet MS" w:hAnsi="Trebuchet MS"/>
                <w:sz w:val="22"/>
                <w:szCs w:val="22"/>
              </w:rPr>
              <w:t>-</w:t>
            </w:r>
            <w:r>
              <w:rPr>
                <w:rFonts w:ascii="Trebuchet MS" w:hAnsi="Trebuchet MS"/>
                <w:sz w:val="22"/>
                <w:szCs w:val="22"/>
              </w:rPr>
              <w:t>DOTA-TOC</w:t>
            </w:r>
          </w:p>
        </w:tc>
        <w:tc>
          <w:tcPr>
            <w:tcW w:w="1276" w:type="dxa"/>
          </w:tcPr>
          <w:p w14:paraId="5E153FED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++</w:t>
            </w:r>
          </w:p>
        </w:tc>
        <w:tc>
          <w:tcPr>
            <w:tcW w:w="1276" w:type="dxa"/>
          </w:tcPr>
          <w:p w14:paraId="5E153FEE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E153FEF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+</w:t>
            </w:r>
          </w:p>
        </w:tc>
      </w:tr>
      <w:tr w:rsidR="00161B1E" w14:paraId="5E153FF5" w14:textId="77777777" w:rsidTr="00161B1E">
        <w:tc>
          <w:tcPr>
            <w:tcW w:w="1843" w:type="dxa"/>
          </w:tcPr>
          <w:p w14:paraId="5E153FF1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vertAlign w:val="superscript"/>
              </w:rPr>
              <w:t>68</w:t>
            </w:r>
            <w:r>
              <w:rPr>
                <w:rFonts w:ascii="Trebuchet MS" w:hAnsi="Trebuchet MS"/>
                <w:sz w:val="22"/>
                <w:szCs w:val="22"/>
              </w:rPr>
              <w:t>Ga</w:t>
            </w:r>
            <w:r w:rsidRPr="00BF1C47">
              <w:rPr>
                <w:rFonts w:ascii="Trebuchet MS" w:hAnsi="Trebuchet MS"/>
                <w:sz w:val="22"/>
                <w:szCs w:val="22"/>
              </w:rPr>
              <w:t>-</w:t>
            </w:r>
            <w:r>
              <w:rPr>
                <w:rFonts w:ascii="Trebuchet MS" w:hAnsi="Trebuchet MS"/>
                <w:sz w:val="22"/>
                <w:szCs w:val="22"/>
              </w:rPr>
              <w:t>DOTA-TATE</w:t>
            </w:r>
          </w:p>
        </w:tc>
        <w:tc>
          <w:tcPr>
            <w:tcW w:w="1276" w:type="dxa"/>
          </w:tcPr>
          <w:p w14:paraId="5E153FF2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++</w:t>
            </w:r>
          </w:p>
        </w:tc>
        <w:tc>
          <w:tcPr>
            <w:tcW w:w="1276" w:type="dxa"/>
          </w:tcPr>
          <w:p w14:paraId="5E153FF3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E153FF4" w14:textId="77777777" w:rsidR="00161B1E" w:rsidRDefault="00161B1E" w:rsidP="002B23C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5E153FF6" w14:textId="77777777" w:rsidR="00161B1E" w:rsidRPr="00161B1E" w:rsidRDefault="00161B1E" w:rsidP="00161B1E">
      <w:pPr>
        <w:rPr>
          <w:rStyle w:val="Hyperlinkki"/>
          <w:rFonts w:ascii="Trebuchet MS" w:hAnsi="Trebuchet MS"/>
          <w:sz w:val="22"/>
          <w:szCs w:val="22"/>
        </w:rPr>
      </w:pPr>
    </w:p>
    <w:sectPr w:rsidR="00161B1E" w:rsidRPr="00161B1E" w:rsidSect="007A3649">
      <w:headerReference w:type="default" r:id="rId15"/>
      <w:footerReference w:type="default" r:id="rId16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53FF9" w14:textId="77777777" w:rsidR="00131B58" w:rsidRDefault="00131B58">
      <w:r>
        <w:separator/>
      </w:r>
    </w:p>
  </w:endnote>
  <w:endnote w:type="continuationSeparator" w:id="0">
    <w:p w14:paraId="5E153FFA" w14:textId="77777777" w:rsidR="00131B58" w:rsidRDefault="0013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54001" w14:textId="79DD13E0" w:rsidR="00131B58" w:rsidRPr="00916ADE" w:rsidRDefault="00131B58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6" w:name="Laatija"/>
    <w:r>
      <w:rPr>
        <w:sz w:val="16"/>
      </w:rPr>
      <w:t>Laatija:</w:t>
    </w:r>
    <w:r w:rsidR="00B411F5">
      <w:rPr>
        <w:sz w:val="16"/>
      </w:rPr>
      <w:t xml:space="preserve"> </w:t>
    </w:r>
    <w:r w:rsidR="00396875">
      <w:rPr>
        <w:sz w:val="16"/>
      </w:rPr>
      <w:t>Aira Karjalainen, Anna-Leena Manninen</w:t>
    </w:r>
    <w:r>
      <w:rPr>
        <w:sz w:val="16"/>
      </w:rPr>
      <w:tab/>
    </w:r>
    <w:bookmarkEnd w:id="16"/>
    <w:r>
      <w:rPr>
        <w:sz w:val="16"/>
      </w:rPr>
      <w:tab/>
    </w:r>
    <w:bookmarkStart w:id="17" w:name="Hyväksyjä"/>
    <w:r>
      <w:rPr>
        <w:sz w:val="16"/>
      </w:rPr>
      <w:t>Hyväksyjä:</w:t>
    </w:r>
    <w:r w:rsidR="00B411F5">
      <w:rPr>
        <w:sz w:val="16"/>
      </w:rPr>
      <w:t xml:space="preserve"> </w:t>
    </w:r>
    <w:r>
      <w:rPr>
        <w:sz w:val="16"/>
      </w:rPr>
      <w:t>Salla-Maarit Kokkonen</w:t>
    </w:r>
    <w:r>
      <w:rPr>
        <w:sz w:val="16"/>
      </w:rPr>
      <w:tab/>
    </w:r>
    <w:bookmarkEnd w:id="17"/>
  </w:p>
  <w:p w14:paraId="5E154002" w14:textId="56396443" w:rsidR="00131B58" w:rsidRPr="00AB1B65" w:rsidRDefault="00131B58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14:paraId="5E154003" w14:textId="3067D571" w:rsidR="00131B58" w:rsidRPr="005F7243" w:rsidRDefault="00131B58" w:rsidP="00396875">
    <w:pPr>
      <w:tabs>
        <w:tab w:val="left" w:pos="3119"/>
        <w:tab w:val="left" w:pos="3544"/>
        <w:tab w:val="right" w:pos="9356"/>
      </w:tabs>
      <w:rPr>
        <w:sz w:val="16"/>
        <w:szCs w:val="16"/>
      </w:rPr>
    </w:pPr>
    <w:r>
      <w:rPr>
        <w:sz w:val="16"/>
        <w:szCs w:val="16"/>
      </w:rPr>
      <w:t>PL 10, 90029 OYS</w:t>
    </w:r>
    <w:r w:rsidRPr="005F7243">
      <w:rPr>
        <w:sz w:val="16"/>
        <w:szCs w:val="16"/>
      </w:rPr>
      <w:tab/>
    </w:r>
    <w:bookmarkStart w:id="18" w:name="PuhNro"/>
    <w:r w:rsidRPr="005F7243">
      <w:rPr>
        <w:sz w:val="16"/>
        <w:szCs w:val="16"/>
      </w:rPr>
      <w:t xml:space="preserve">Puh. 08 </w:t>
    </w:r>
    <w:r>
      <w:rPr>
        <w:sz w:val="16"/>
        <w:szCs w:val="16"/>
      </w:rPr>
      <w:t>315 2011 (vaihde)</w:t>
    </w:r>
    <w:r w:rsidRPr="005F7243">
      <w:rPr>
        <w:sz w:val="16"/>
        <w:szCs w:val="16"/>
      </w:rPr>
      <w:tab/>
    </w:r>
    <w:bookmarkEnd w:id="18"/>
    <w:r w:rsidR="00396875">
      <w:rPr>
        <w:sz w:val="16"/>
        <w:szCs w:val="16"/>
      </w:rPr>
      <w:t>Karjalainen Aira</w:t>
    </w:r>
    <w:r w:rsidRPr="005F7243">
      <w:rPr>
        <w:sz w:val="16"/>
        <w:szCs w:val="16"/>
      </w:rPr>
      <w:tab/>
    </w:r>
    <w:bookmarkStart w:id="19" w:name="FaxNro"/>
    <w:r w:rsidR="00B411F5">
      <w:rPr>
        <w:sz w:val="16"/>
        <w:szCs w:val="16"/>
      </w:rPr>
      <w:t>www.pohde</w:t>
    </w:r>
    <w:r w:rsidRPr="005F7243">
      <w:rPr>
        <w:sz w:val="16"/>
        <w:szCs w:val="16"/>
      </w:rPr>
      <w:t xml:space="preserve">.fi </w:t>
    </w:r>
    <w:r w:rsidRPr="005F7243">
      <w:rPr>
        <w:sz w:val="16"/>
        <w:szCs w:val="16"/>
      </w:rPr>
      <w:tab/>
    </w:r>
    <w:bookmarkEnd w:id="19"/>
    <w:r w:rsidRPr="005F7243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53FF7" w14:textId="77777777" w:rsidR="00131B58" w:rsidRDefault="00131B58">
      <w:r>
        <w:separator/>
      </w:r>
    </w:p>
  </w:footnote>
  <w:footnote w:type="continuationSeparator" w:id="0">
    <w:p w14:paraId="5E153FF8" w14:textId="77777777" w:rsidR="00131B58" w:rsidRDefault="00131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53FFB" w14:textId="038B8612" w:rsidR="00131B58" w:rsidRPr="005F7243" w:rsidRDefault="00131B58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154005" wp14:editId="5E154006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154009" w14:textId="2D1899B2" w:rsidR="00131B58" w:rsidRDefault="00B411F5" w:rsidP="00ED61C9">
                          <w:bookmarkStart w:id="1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CD1D87" wp14:editId="0EF2920C">
                                <wp:extent cx="1043305" cy="478790"/>
                                <wp:effectExtent l="0" t="0" r="4445" b="0"/>
                                <wp:docPr id="14" name="Kuva 14" descr="Pohjois-Pohjanmaan hyvinvointialue Pohde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val="0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2" descr="Pohjois-Pohjanmaan hyvinvointialue Pohde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val="0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3305" cy="478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31B58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54005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5E154009" w14:textId="2D1899B2" w:rsidR="00131B58" w:rsidRDefault="00B411F5" w:rsidP="00ED61C9">
                    <w:bookmarkStart w:id="2" w:name="Laitos1"/>
                    <w:r>
                      <w:rPr>
                        <w:noProof/>
                      </w:rPr>
                      <w:drawing>
                        <wp:inline distT="0" distB="0" distL="0" distR="0" wp14:anchorId="23CD1D87" wp14:editId="0EF2920C">
                          <wp:extent cx="1043305" cy="478790"/>
                          <wp:effectExtent l="0" t="0" r="4445" b="0"/>
                          <wp:docPr id="14" name="Kuva 14" descr="Pohjois-Pohjanmaan hyvinvointialue Pohde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val="0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2" descr="Pohjois-Pohjanmaan hyvinvointialue Pohde">
                                    <a:extLst>
                                      <a:ext uri="{C183D7F6-B498-43B3-948B-1728B52AA6E4}">
          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val="0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3305" cy="478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31B58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3" w:name="AsiakirjanNimi"/>
    <w:r>
      <w:rPr>
        <w:b/>
        <w:sz w:val="18"/>
        <w:szCs w:val="18"/>
      </w:rPr>
      <w:t>Ohje</w:t>
    </w:r>
    <w:r w:rsidRPr="005F7243">
      <w:rPr>
        <w:sz w:val="18"/>
        <w:szCs w:val="18"/>
      </w:rPr>
      <w:tab/>
    </w:r>
    <w:bookmarkStart w:id="4" w:name="Asiakirjanversio"/>
    <w:bookmarkEnd w:id="3"/>
    <w:r>
      <w:rPr>
        <w:sz w:val="18"/>
        <w:szCs w:val="18"/>
      </w:rPr>
      <w:tab/>
    </w:r>
    <w:bookmarkStart w:id="5" w:name="sivunroJaLkm"/>
    <w:bookmarkEnd w:id="4"/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PAGE  \* LOWER </w:instrText>
    </w:r>
    <w:r w:rsidRPr="005F7243">
      <w:rPr>
        <w:sz w:val="18"/>
        <w:szCs w:val="18"/>
      </w:rPr>
      <w:fldChar w:fldCharType="separate"/>
    </w:r>
    <w:r w:rsidR="00B411F5">
      <w:rPr>
        <w:noProof/>
        <w:sz w:val="18"/>
        <w:szCs w:val="18"/>
      </w:rPr>
      <w:t>1</w:t>
    </w:r>
    <w:r w:rsidRPr="005F7243">
      <w:rPr>
        <w:sz w:val="18"/>
        <w:szCs w:val="18"/>
      </w:rPr>
      <w:fldChar w:fldCharType="end"/>
    </w:r>
    <w:r w:rsidRPr="005F7243">
      <w:rPr>
        <w:sz w:val="18"/>
        <w:szCs w:val="18"/>
      </w:rPr>
      <w:t xml:space="preserve"> (</w:t>
    </w:r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NUMPAGES  \* LOWER </w:instrText>
    </w:r>
    <w:r w:rsidRPr="005F7243">
      <w:rPr>
        <w:sz w:val="18"/>
        <w:szCs w:val="18"/>
      </w:rPr>
      <w:fldChar w:fldCharType="separate"/>
    </w:r>
    <w:r w:rsidR="00B411F5">
      <w:rPr>
        <w:noProof/>
        <w:sz w:val="18"/>
        <w:szCs w:val="18"/>
      </w:rPr>
      <w:t>2</w:t>
    </w:r>
    <w:r w:rsidRPr="005F7243">
      <w:rPr>
        <w:noProof/>
        <w:sz w:val="18"/>
        <w:szCs w:val="18"/>
      </w:rPr>
      <w:fldChar w:fldCharType="end"/>
    </w:r>
    <w:r w:rsidRPr="005F7243">
      <w:rPr>
        <w:sz w:val="18"/>
        <w:szCs w:val="18"/>
      </w:rPr>
      <w:t>)</w:t>
    </w:r>
  </w:p>
  <w:p w14:paraId="5E153FFC" w14:textId="77777777" w:rsidR="00131B58" w:rsidRPr="005F7243" w:rsidRDefault="00131B58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6" w:name="Laitos2"/>
    <w:bookmarkEnd w:id="5"/>
    <w:r w:rsidRPr="005F7243">
      <w:rPr>
        <w:sz w:val="18"/>
        <w:szCs w:val="18"/>
      </w:rPr>
      <w:tab/>
    </w:r>
    <w:bookmarkStart w:id="7" w:name="AsiakirjanNimi2"/>
    <w:bookmarkEnd w:id="6"/>
    <w:r w:rsidRPr="005F7243">
      <w:rPr>
        <w:sz w:val="18"/>
        <w:szCs w:val="18"/>
      </w:rPr>
      <w:tab/>
    </w:r>
    <w:bookmarkStart w:id="8" w:name="LiiteNro"/>
    <w:bookmarkEnd w:id="7"/>
  </w:p>
  <w:bookmarkEnd w:id="8"/>
  <w:p w14:paraId="5E153FFD" w14:textId="77777777" w:rsidR="00131B58" w:rsidRPr="005F7243" w:rsidRDefault="00131B58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9" w:name="yksikkö"/>
    <w:bookmarkStart w:id="10" w:name="AsiakirjanNimi3"/>
    <w:bookmarkEnd w:id="9"/>
    <w:r w:rsidRPr="005F7243">
      <w:rPr>
        <w:sz w:val="18"/>
        <w:szCs w:val="18"/>
      </w:rPr>
      <w:tab/>
    </w:r>
    <w:bookmarkStart w:id="11" w:name="Asiatunnus"/>
    <w:bookmarkEnd w:id="10"/>
  </w:p>
  <w:p w14:paraId="5E153FFE" w14:textId="36E36ABD" w:rsidR="00131B58" w:rsidRPr="005F7243" w:rsidRDefault="00131B58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2" w:name="Yksikkö2"/>
    <w:bookmarkStart w:id="13" w:name="Yksikkö3"/>
    <w:bookmarkEnd w:id="11"/>
    <w:r>
      <w:rPr>
        <w:sz w:val="18"/>
        <w:szCs w:val="18"/>
      </w:rPr>
      <w:t>Kuvantaminen</w:t>
    </w:r>
    <w:r w:rsidR="00B411F5">
      <w:rPr>
        <w:sz w:val="18"/>
        <w:szCs w:val="18"/>
      </w:rPr>
      <w:t xml:space="preserve"> F-röntgen</w:t>
    </w:r>
    <w:r>
      <w:rPr>
        <w:sz w:val="18"/>
        <w:szCs w:val="18"/>
      </w:rPr>
      <w:t xml:space="preserve"> Isotooppiosasto</w:t>
    </w:r>
    <w:r w:rsidRPr="005F7243">
      <w:rPr>
        <w:sz w:val="18"/>
        <w:szCs w:val="18"/>
      </w:rPr>
      <w:tab/>
    </w:r>
    <w:bookmarkStart w:id="14" w:name="LuontiPvm"/>
    <w:bookmarkEnd w:id="12"/>
    <w:bookmarkEnd w:id="13"/>
    <w:r w:rsidR="00B411F5">
      <w:rPr>
        <w:sz w:val="18"/>
        <w:szCs w:val="18"/>
      </w:rPr>
      <w:t>15.5.2023</w:t>
    </w:r>
    <w:r w:rsidRPr="005F7243">
      <w:rPr>
        <w:sz w:val="18"/>
        <w:szCs w:val="18"/>
      </w:rPr>
      <w:tab/>
    </w:r>
    <w:bookmarkStart w:id="15" w:name="Julkisuus"/>
    <w:bookmarkEnd w:id="14"/>
  </w:p>
  <w:bookmarkEnd w:id="15"/>
  <w:p w14:paraId="5E153FFF" w14:textId="77777777" w:rsidR="00131B58" w:rsidRPr="005F7243" w:rsidRDefault="00131B58" w:rsidP="008A64FF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5E154000" w14:textId="77777777" w:rsidR="00131B58" w:rsidRDefault="00131B58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636D"/>
    <w:multiLevelType w:val="hybridMultilevel"/>
    <w:tmpl w:val="55AE7FFC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7640095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5D0B70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4517891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263D57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43789B"/>
    <w:multiLevelType w:val="singleLevel"/>
    <w:tmpl w:val="1ED40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3AF16301"/>
    <w:multiLevelType w:val="hybridMultilevel"/>
    <w:tmpl w:val="43243FBE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3F3231AF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F3A4FB6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6252F49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B2393A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F560690"/>
    <w:multiLevelType w:val="hybridMultilevel"/>
    <w:tmpl w:val="DC820358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6F5854FA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A6E2925"/>
    <w:multiLevelType w:val="hybridMultilevel"/>
    <w:tmpl w:val="0180F362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1"/>
  </w:num>
  <w:num w:numId="6">
    <w:abstractNumId w:val="13"/>
  </w:num>
  <w:num w:numId="7">
    <w:abstractNumId w:val="6"/>
  </w:num>
  <w:num w:numId="8">
    <w:abstractNumId w:val="26"/>
  </w:num>
  <w:num w:numId="9">
    <w:abstractNumId w:val="5"/>
  </w:num>
  <w:num w:numId="10">
    <w:abstractNumId w:val="12"/>
  </w:num>
  <w:num w:numId="11">
    <w:abstractNumId w:val="10"/>
  </w:num>
  <w:num w:numId="12">
    <w:abstractNumId w:val="4"/>
  </w:num>
  <w:num w:numId="13">
    <w:abstractNumId w:val="22"/>
  </w:num>
  <w:num w:numId="14">
    <w:abstractNumId w:val="14"/>
  </w:num>
  <w:num w:numId="15">
    <w:abstractNumId w:val="16"/>
  </w:num>
  <w:num w:numId="16">
    <w:abstractNumId w:val="8"/>
  </w:num>
  <w:num w:numId="17">
    <w:abstractNumId w:val="20"/>
  </w:num>
  <w:num w:numId="18">
    <w:abstractNumId w:val="15"/>
  </w:num>
  <w:num w:numId="19">
    <w:abstractNumId w:val="9"/>
  </w:num>
  <w:num w:numId="20">
    <w:abstractNumId w:val="25"/>
  </w:num>
  <w:num w:numId="21">
    <w:abstractNumId w:val="19"/>
  </w:num>
  <w:num w:numId="22">
    <w:abstractNumId w:val="18"/>
  </w:num>
  <w:num w:numId="23">
    <w:abstractNumId w:val="11"/>
  </w:num>
  <w:num w:numId="24">
    <w:abstractNumId w:val="23"/>
  </w:num>
  <w:num w:numId="25">
    <w:abstractNumId w:val="17"/>
  </w:num>
  <w:num w:numId="26">
    <w:abstractNumId w:val="27"/>
  </w:num>
  <w:num w:numId="27">
    <w:abstractNumId w:val="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47"/>
    <w:rsid w:val="00004F15"/>
    <w:rsid w:val="00011199"/>
    <w:rsid w:val="00017943"/>
    <w:rsid w:val="00034353"/>
    <w:rsid w:val="00037F91"/>
    <w:rsid w:val="000609DB"/>
    <w:rsid w:val="00062F23"/>
    <w:rsid w:val="00072071"/>
    <w:rsid w:val="00076C9D"/>
    <w:rsid w:val="00077B18"/>
    <w:rsid w:val="00096B1A"/>
    <w:rsid w:val="000A379C"/>
    <w:rsid w:val="000C476D"/>
    <w:rsid w:val="000C52D5"/>
    <w:rsid w:val="000D0838"/>
    <w:rsid w:val="000D5870"/>
    <w:rsid w:val="000D6658"/>
    <w:rsid w:val="000F1BF6"/>
    <w:rsid w:val="00100BFF"/>
    <w:rsid w:val="00101AC4"/>
    <w:rsid w:val="00117741"/>
    <w:rsid w:val="00131B58"/>
    <w:rsid w:val="001334FC"/>
    <w:rsid w:val="001338E4"/>
    <w:rsid w:val="001353AC"/>
    <w:rsid w:val="00135B75"/>
    <w:rsid w:val="001430FF"/>
    <w:rsid w:val="00157FB2"/>
    <w:rsid w:val="00161B1E"/>
    <w:rsid w:val="00170AA2"/>
    <w:rsid w:val="00175916"/>
    <w:rsid w:val="0018455C"/>
    <w:rsid w:val="00185CC6"/>
    <w:rsid w:val="001872AC"/>
    <w:rsid w:val="001A02B2"/>
    <w:rsid w:val="001B7BF6"/>
    <w:rsid w:val="001C578E"/>
    <w:rsid w:val="001E03AD"/>
    <w:rsid w:val="002024F1"/>
    <w:rsid w:val="00217722"/>
    <w:rsid w:val="00244938"/>
    <w:rsid w:val="0025209C"/>
    <w:rsid w:val="00266F58"/>
    <w:rsid w:val="00267AA8"/>
    <w:rsid w:val="00275D71"/>
    <w:rsid w:val="00281189"/>
    <w:rsid w:val="00293F4C"/>
    <w:rsid w:val="00297359"/>
    <w:rsid w:val="002C6975"/>
    <w:rsid w:val="002D3868"/>
    <w:rsid w:val="002E2DA0"/>
    <w:rsid w:val="002F221D"/>
    <w:rsid w:val="002F73C4"/>
    <w:rsid w:val="0031054B"/>
    <w:rsid w:val="00331136"/>
    <w:rsid w:val="003355D1"/>
    <w:rsid w:val="00347700"/>
    <w:rsid w:val="003554D1"/>
    <w:rsid w:val="003604FA"/>
    <w:rsid w:val="0036420D"/>
    <w:rsid w:val="003672E4"/>
    <w:rsid w:val="00391B72"/>
    <w:rsid w:val="00396875"/>
    <w:rsid w:val="003973DA"/>
    <w:rsid w:val="003A4FCA"/>
    <w:rsid w:val="003D506F"/>
    <w:rsid w:val="003D793E"/>
    <w:rsid w:val="00404D1D"/>
    <w:rsid w:val="004161F3"/>
    <w:rsid w:val="00422BF2"/>
    <w:rsid w:val="00426612"/>
    <w:rsid w:val="00446E35"/>
    <w:rsid w:val="004631D2"/>
    <w:rsid w:val="0047204B"/>
    <w:rsid w:val="00486393"/>
    <w:rsid w:val="004A7FE1"/>
    <w:rsid w:val="004C2CD3"/>
    <w:rsid w:val="004F07B9"/>
    <w:rsid w:val="00505C9A"/>
    <w:rsid w:val="005150CB"/>
    <w:rsid w:val="00540198"/>
    <w:rsid w:val="00562DC9"/>
    <w:rsid w:val="00563B9B"/>
    <w:rsid w:val="005763EB"/>
    <w:rsid w:val="005A3C89"/>
    <w:rsid w:val="005A46AF"/>
    <w:rsid w:val="005A5640"/>
    <w:rsid w:val="005A6022"/>
    <w:rsid w:val="005C6EF2"/>
    <w:rsid w:val="005D4283"/>
    <w:rsid w:val="005F1237"/>
    <w:rsid w:val="005F7243"/>
    <w:rsid w:val="00603D10"/>
    <w:rsid w:val="006161CD"/>
    <w:rsid w:val="00622F84"/>
    <w:rsid w:val="0062412C"/>
    <w:rsid w:val="00652740"/>
    <w:rsid w:val="00670BF6"/>
    <w:rsid w:val="00671DD6"/>
    <w:rsid w:val="0067379F"/>
    <w:rsid w:val="006A2B1D"/>
    <w:rsid w:val="006B0AD2"/>
    <w:rsid w:val="006B2EC4"/>
    <w:rsid w:val="006D307C"/>
    <w:rsid w:val="006E31C9"/>
    <w:rsid w:val="006F7653"/>
    <w:rsid w:val="00737119"/>
    <w:rsid w:val="00747739"/>
    <w:rsid w:val="00750BBF"/>
    <w:rsid w:val="00757B01"/>
    <w:rsid w:val="007608A1"/>
    <w:rsid w:val="00775802"/>
    <w:rsid w:val="00787FB6"/>
    <w:rsid w:val="0079533E"/>
    <w:rsid w:val="00795491"/>
    <w:rsid w:val="007A3649"/>
    <w:rsid w:val="007A3BF2"/>
    <w:rsid w:val="007B207F"/>
    <w:rsid w:val="007B3011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1191"/>
    <w:rsid w:val="008829D2"/>
    <w:rsid w:val="00886255"/>
    <w:rsid w:val="00896D6C"/>
    <w:rsid w:val="008A5643"/>
    <w:rsid w:val="008A64FF"/>
    <w:rsid w:val="008B022B"/>
    <w:rsid w:val="008B2BFA"/>
    <w:rsid w:val="008B3F9D"/>
    <w:rsid w:val="008D5BA6"/>
    <w:rsid w:val="008D6777"/>
    <w:rsid w:val="008E0ACC"/>
    <w:rsid w:val="00915711"/>
    <w:rsid w:val="00916ADE"/>
    <w:rsid w:val="00930FB0"/>
    <w:rsid w:val="009339CB"/>
    <w:rsid w:val="00951AE2"/>
    <w:rsid w:val="00963CC8"/>
    <w:rsid w:val="00966994"/>
    <w:rsid w:val="00984F15"/>
    <w:rsid w:val="00987E8B"/>
    <w:rsid w:val="00990A3E"/>
    <w:rsid w:val="009B0394"/>
    <w:rsid w:val="009C4ACE"/>
    <w:rsid w:val="009C5CA1"/>
    <w:rsid w:val="009E7F9F"/>
    <w:rsid w:val="009F2B62"/>
    <w:rsid w:val="009F43C2"/>
    <w:rsid w:val="00A05626"/>
    <w:rsid w:val="00A21EE3"/>
    <w:rsid w:val="00A23063"/>
    <w:rsid w:val="00A35E61"/>
    <w:rsid w:val="00A65B5C"/>
    <w:rsid w:val="00A748EE"/>
    <w:rsid w:val="00AB1B65"/>
    <w:rsid w:val="00AB6F51"/>
    <w:rsid w:val="00AD24DF"/>
    <w:rsid w:val="00AD2E8A"/>
    <w:rsid w:val="00AE23A7"/>
    <w:rsid w:val="00AF6048"/>
    <w:rsid w:val="00B004A0"/>
    <w:rsid w:val="00B0142C"/>
    <w:rsid w:val="00B05F1F"/>
    <w:rsid w:val="00B13E1C"/>
    <w:rsid w:val="00B349E0"/>
    <w:rsid w:val="00B35104"/>
    <w:rsid w:val="00B411F5"/>
    <w:rsid w:val="00B4566A"/>
    <w:rsid w:val="00B50F03"/>
    <w:rsid w:val="00B54A53"/>
    <w:rsid w:val="00B5684B"/>
    <w:rsid w:val="00B7723E"/>
    <w:rsid w:val="00B862B5"/>
    <w:rsid w:val="00B866DF"/>
    <w:rsid w:val="00BE08C4"/>
    <w:rsid w:val="00BF0B61"/>
    <w:rsid w:val="00BF0C67"/>
    <w:rsid w:val="00BF1C47"/>
    <w:rsid w:val="00C113F0"/>
    <w:rsid w:val="00C3681A"/>
    <w:rsid w:val="00C5473B"/>
    <w:rsid w:val="00C66439"/>
    <w:rsid w:val="00CA445A"/>
    <w:rsid w:val="00CC245C"/>
    <w:rsid w:val="00CC4C28"/>
    <w:rsid w:val="00CE08FD"/>
    <w:rsid w:val="00CE698E"/>
    <w:rsid w:val="00CF3B9E"/>
    <w:rsid w:val="00D30C52"/>
    <w:rsid w:val="00D40D9C"/>
    <w:rsid w:val="00D43B4C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C5F9F"/>
    <w:rsid w:val="00DD23BE"/>
    <w:rsid w:val="00DD51BD"/>
    <w:rsid w:val="00DE0424"/>
    <w:rsid w:val="00E04CDC"/>
    <w:rsid w:val="00E169F0"/>
    <w:rsid w:val="00E20CFC"/>
    <w:rsid w:val="00E221FB"/>
    <w:rsid w:val="00E84FB8"/>
    <w:rsid w:val="00E86174"/>
    <w:rsid w:val="00E97067"/>
    <w:rsid w:val="00EA09FE"/>
    <w:rsid w:val="00EA20A1"/>
    <w:rsid w:val="00EA44D7"/>
    <w:rsid w:val="00EB6CF1"/>
    <w:rsid w:val="00ED0926"/>
    <w:rsid w:val="00ED431E"/>
    <w:rsid w:val="00ED4699"/>
    <w:rsid w:val="00ED61C9"/>
    <w:rsid w:val="00EF17CA"/>
    <w:rsid w:val="00EF45E3"/>
    <w:rsid w:val="00EF7037"/>
    <w:rsid w:val="00F10E64"/>
    <w:rsid w:val="00F11B87"/>
    <w:rsid w:val="00F437D9"/>
    <w:rsid w:val="00F46DD2"/>
    <w:rsid w:val="00F6684C"/>
    <w:rsid w:val="00F7382F"/>
    <w:rsid w:val="00F749C6"/>
    <w:rsid w:val="00F82EB0"/>
    <w:rsid w:val="00F86B2E"/>
    <w:rsid w:val="00F91BB9"/>
    <w:rsid w:val="00F960B0"/>
    <w:rsid w:val="00FB1B17"/>
    <w:rsid w:val="00FB42BF"/>
    <w:rsid w:val="00FB6E7D"/>
    <w:rsid w:val="00FC79B0"/>
    <w:rsid w:val="00FD095E"/>
    <w:rsid w:val="00FD3BB9"/>
    <w:rsid w:val="00FD425F"/>
    <w:rsid w:val="00FD79B2"/>
    <w:rsid w:val="00FE360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E153FA0"/>
  <w15:docId w15:val="{78EDE6F6-7FAF-41D9-B66B-63D6DA82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F1C47"/>
    <w:rPr>
      <w:rFonts w:ascii="Times New Roman" w:hAnsi="Times New Roman"/>
      <w:sz w:val="24"/>
      <w:szCs w:val="20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styleId="Sisennettyleipteksti">
    <w:name w:val="Body Text Indent"/>
    <w:basedOn w:val="Normaali"/>
    <w:link w:val="SisennettyleiptekstiChar"/>
    <w:rsid w:val="00BF1C47"/>
    <w:pPr>
      <w:ind w:left="567"/>
    </w:pPr>
  </w:style>
  <w:style w:type="character" w:customStyle="1" w:styleId="SisennettyleiptekstiChar">
    <w:name w:val="Sisennetty leipäteksti Char"/>
    <w:basedOn w:val="Kappaleenoletusfontti"/>
    <w:link w:val="Sisennettyleipteksti"/>
    <w:rsid w:val="00BF1C47"/>
    <w:rPr>
      <w:rFonts w:ascii="Times New Roman" w:hAnsi="Times New Roman"/>
      <w:sz w:val="24"/>
      <w:szCs w:val="20"/>
    </w:rPr>
  </w:style>
  <w:style w:type="character" w:styleId="Hyperlinkki">
    <w:name w:val="Hyperlink"/>
    <w:rsid w:val="00BF1C47"/>
    <w:rPr>
      <w:color w:val="0000FF"/>
      <w:u w:val="single"/>
    </w:rPr>
  </w:style>
  <w:style w:type="character" w:styleId="AvattuHyperlinkki">
    <w:name w:val="FollowedHyperlink"/>
    <w:basedOn w:val="Kappaleenoletusfontti"/>
    <w:rsid w:val="00A23063"/>
    <w:rPr>
      <w:color w:val="800080" w:themeColor="followedHyperlink"/>
      <w:u w:val="single"/>
    </w:rPr>
  </w:style>
  <w:style w:type="table" w:styleId="TaulukkoRuudukko">
    <w:name w:val="Table Grid"/>
    <w:basedOn w:val="Normaalitaulukko"/>
    <w:rsid w:val="00161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yhtdata/tulosyksikot/INTRANET/DIAGNOSTIIKKA%20TULOSYKSIKK&#214;/RADIOLOGIA/OHJEET%20TILAAJALLE/ISOTOOPPITUTKIMUKSET/Isotooppitutkimuksen%20tilaamisen%20yleisohje.do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yhtdata/tulosyksikot/INTRANET/DIAGNOSTIIKKA%20TULOSYKSIKK&#214;/RADIOLOGIA/OHJEET%20TILAAJALLE/ISOTOOPPITUTKIMUKSET/Isotooppitutkimuksen%20tilaamisen%20yleisohje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PPSHP%20201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i:0#.w|oysnet\manninal</DisplayName>
        <AccountId>370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JN5ER Koko kehon reseptoreiden PET-tietokonetomografiatutkimus</TermName>
          <TermId xmlns="http://schemas.microsoft.com/office/infopath/2007/PartnerControls">5cd2fb27-b7ed-45e5-b89c-a9564f289c21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i:0#.w|oysnet\kokkonsm</DisplayName>
        <AccountId>366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TaxCatchAll xmlns="d3e50268-7799-48af-83c3-9a9b063078bc">
      <Value>2025</Value>
      <Value>1313</Value>
      <Value>180</Value>
      <Value>978</Value>
      <Value>41</Value>
      <Value>2026</Value>
      <Value>821</Value>
      <Value>650</Value>
      <Value>528</Value>
      <Value>2</Value>
      <Value>1</Value>
    </TaxCatchAll>
    <_dlc_DocId xmlns="d3e50268-7799-48af-83c3-9a9b063078bc">MUAVRSSTWASF-628417917-427</_dlc_DocId>
    <_dlc_DocIdUrl xmlns="d3e50268-7799-48af-83c3-9a9b063078bc">
      <Url>https://internet.oysnet.ppshp.fi/dokumentit/_layouts/15/DocIdRedir.aspx?ID=MUAVRSSTWASF-628417917-427</Url>
      <Description>MUAVRSSTWASF-628417917-427</Description>
    </_dlc_DocIdUrl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8C6D9B2-CFB2-4E97-9018-7EA951403C0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495BE9-8F65-4615-871F-7BF9AC5D98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8E4725-FE7B-4B9C-894A-5AD2650DB4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D56726-BE1E-49FC-BDA1-E20CEC6F1A1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d3e50268-7799-48af-83c3-9a9b063078bc"/>
    <ds:schemaRef ds:uri="http://schemas.microsoft.com/office/infopath/2007/PartnerControls"/>
    <ds:schemaRef ds:uri="http://schemas.openxmlformats.org/package/2006/metadata/core-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0473E09-30A5-4E49-8966-4CC1AA0FA288}"/>
</file>

<file path=customXml/itemProps6.xml><?xml version="1.0" encoding="utf-8"?>
<ds:datastoreItem xmlns:ds="http://schemas.openxmlformats.org/officeDocument/2006/customXml" ds:itemID="{D57623E7-8E3F-469C-811B-BD79C71D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</Template>
  <TotalTime>263</TotalTime>
  <Pages>2</Pages>
  <Words>530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Somatostatiinireseptoreiden PET-TT (oys kuv men)</vt:lpstr>
    </vt:vector>
  </TitlesOfParts>
  <Company>ppshp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Somatostatiinireseptoreiden PET-TT oys kuv men</dc:title>
  <dc:creator>Mäkelä Leila</dc:creator>
  <cp:keywords>Somatostatiinireseptoreiden PET-TT</cp:keywords>
  <cp:lastModifiedBy>Väänänen Minna</cp:lastModifiedBy>
  <cp:revision>22</cp:revision>
  <cp:lastPrinted>2015-03-11T07:15:00Z</cp:lastPrinted>
  <dcterms:created xsi:type="dcterms:W3CDTF">2015-03-09T10:21:00Z</dcterms:created>
  <dcterms:modified xsi:type="dcterms:W3CDTF">2023-05-15T09:40:00Z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4543fcdf-75ca-4b8b-b38f-f0c506036ed9</vt:lpwstr>
  </property>
  <property fmtid="{D5CDD505-2E9C-101B-9397-08002B2CF9AE}" pid="4" name="Kuvantamisen ohjeen kohderyhmä (sisältötyypin metatieto)">
    <vt:lpwstr>978;#Projektio-/ tutkimusohjeet|00f9cfd7-e55b-40e2-b514-2b376e6bcb08</vt:lpwstr>
  </property>
  <property fmtid="{D5CDD505-2E9C-101B-9397-08002B2CF9AE}" pid="5" name="TaxKeyword">
    <vt:lpwstr>2026;#Somatostatiinireseptoreiden PET-TT|aebfac30-14f6-4efc-a9a3-b7b0a20b3f27</vt:lpwstr>
  </property>
  <property fmtid="{D5CDD505-2E9C-101B-9397-08002B2CF9AE}" pid="6" name="Kuvantamisen ikäryhmä">
    <vt:lpwstr>821;#Sekä aikuinen että lapsi|03920717-50d3-4d49-800d-6dad76d554d5</vt:lpwstr>
  </property>
  <property fmtid="{D5CDD505-2E9C-101B-9397-08002B2CF9AE}" pid="7" name="Kuvantamisen laite- tai huonetieto">
    <vt:lpwstr/>
  </property>
  <property fmtid="{D5CDD505-2E9C-101B-9397-08002B2CF9AE}" pid="8" name="Kohde- / työntekijäryhmä">
    <vt:lpwstr>2;#Kaikki henkilöt|31fa67c4-be81-468b-a947-7b6ec584393e</vt:lpwstr>
  </property>
  <property fmtid="{D5CDD505-2E9C-101B-9397-08002B2CF9AE}" pid="9" name="Kohdeorganisaatio">
    <vt:lpwstr>1;#Pohjois-Pohjanmaan sairaanhoitopiiri|be8cbbf1-c5fa-44e0-8d6c-f88ba4a3bcc6</vt:lpwstr>
  </property>
  <property fmtid="{D5CDD505-2E9C-101B-9397-08002B2CF9AE}" pid="10" name="Organisaatiotiedon tarkennus toiminnan mukaan">
    <vt:lpwstr/>
  </property>
  <property fmtid="{D5CDD505-2E9C-101B-9397-08002B2CF9AE}" pid="11" name="Erikoisala">
    <vt:lpwstr>528;#kliininen fysiologia ja isotooppilääketiede (PPSHP)|10be52ec-d72f-4414-83a0-e978b3b2251e</vt:lpwstr>
  </property>
  <property fmtid="{D5CDD505-2E9C-101B-9397-08002B2CF9AE}" pid="12" name="Kuvantamisen ohjeen elinryhmät (sisältötyypin metatieto)">
    <vt:lpwstr/>
  </property>
  <property fmtid="{D5CDD505-2E9C-101B-9397-08002B2CF9AE}" pid="13" name="Toiminnanohjauskäsikirja">
    <vt:lpwstr>180;#5.3.1.1 hoito-ohjeiden hallinta|b7d9d97a-a7b7-4eec-b389-062c48e444f7</vt:lpwstr>
  </property>
  <property fmtid="{D5CDD505-2E9C-101B-9397-08002B2CF9AE}" pid="14" name="Kuvantamisen ohjeen tutkimusryhmät (sisältötyypin metatieto)">
    <vt:lpwstr>650;#Isotooppi|34089549-f79f-4d4d-844a-676cbbb5d2e1</vt:lpwstr>
  </property>
  <property fmtid="{D5CDD505-2E9C-101B-9397-08002B2CF9AE}" pid="15" name="Organisaatiotieto">
    <vt:lpwstr>41;#Kuvantaminen|13fd9652-4cc4-4c00-9faf-49cd9c600ecb</vt:lpwstr>
  </property>
  <property fmtid="{D5CDD505-2E9C-101B-9397-08002B2CF9AE}" pid="16" name="Kuvantamisen tilaaja vai menetelmä">
    <vt:lpwstr>1313;#Menetelmäohje|8d7551ed-f25f-4658-af35-e281bf9731e8</vt:lpwstr>
  </property>
  <property fmtid="{D5CDD505-2E9C-101B-9397-08002B2CF9AE}" pid="17" name="Toimenpidekoodit">
    <vt:lpwstr>2025;#JN5ER Koko kehon reseptoreiden PET-tietokonetomografiatutkimus|5cd2fb27-b7ed-45e5-b89c-a9564f289c21</vt:lpwstr>
  </property>
  <property fmtid="{D5CDD505-2E9C-101B-9397-08002B2CF9AE}" pid="18" name="Kriisiviestintä">
    <vt:lpwstr/>
  </property>
  <property fmtid="{D5CDD505-2E9C-101B-9397-08002B2CF9AE}" pid="19" name="MEO">
    <vt:lpwstr/>
  </property>
  <property fmtid="{D5CDD505-2E9C-101B-9397-08002B2CF9AE}" pid="20" name="Order">
    <vt:r8>972600</vt:r8>
  </property>
  <property fmtid="{D5CDD505-2E9C-101B-9397-08002B2CF9AE}" pid="22" name="SharedWithUsers">
    <vt:lpwstr/>
  </property>
  <property fmtid="{D5CDD505-2E9C-101B-9397-08002B2CF9AE}" pid="23" name="TaxKeywordTaxHTField">
    <vt:lpwstr>Somatostatiinireseptoreiden PET-TT|aebfac30-14f6-4efc-a9a3-b7b0a20b3f27</vt:lpwstr>
  </property>
</Properties>
</file>